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FF93" w14:textId="77777777" w:rsidR="00662D67" w:rsidRDefault="00000000">
      <w:pPr>
        <w:pStyle w:val="Standard"/>
        <w:spacing w:before="120" w:after="120"/>
        <w:ind w:left="4248"/>
      </w:pPr>
      <w:r>
        <w:rPr>
          <w:rFonts w:ascii="Open Sans" w:hAnsi="Open Sans" w:cs="Calibri"/>
          <w:b/>
          <w:bCs/>
        </w:rPr>
        <w:t>§ 1.</w:t>
      </w:r>
    </w:p>
    <w:p w14:paraId="7482A342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Postanowienia ogólne</w:t>
      </w:r>
    </w:p>
    <w:p w14:paraId="52BE1AA7" w14:textId="77777777" w:rsidR="00662D67" w:rsidRDefault="00000000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 xml:space="preserve">Regulamin organizacyjny został ustalony na podstawie art. 24 w zw. z art. 23 ustawy z dnia 15 kwietnia 2011 roku o działalności leczniczej </w:t>
      </w:r>
    </w:p>
    <w:p w14:paraId="62116649" w14:textId="77777777" w:rsidR="00662D67" w:rsidRDefault="00000000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Regulamin określa sposób i warunki udzielania świadczeń zdrowotnych przez podmiot leczniczy (zwany dalej </w:t>
      </w:r>
      <w:r>
        <w:rPr>
          <w:rFonts w:ascii="Open Sans" w:hAnsi="Open Sans" w:cs="Calibri"/>
          <w:b/>
          <w:bCs/>
          <w:sz w:val="18"/>
          <w:szCs w:val="18"/>
        </w:rPr>
        <w:t>Centrum</w:t>
      </w:r>
      <w:r>
        <w:rPr>
          <w:rFonts w:ascii="Open Sans" w:hAnsi="Open Sans" w:cs="Calibri"/>
          <w:sz w:val="18"/>
          <w:szCs w:val="18"/>
        </w:rPr>
        <w:t>) działający pod firmą SUN-MED spółka z ograniczoną odpowiedzialnością, z siedzibą w Tyńcu Małym, ul. Jesionowa 5, 55-040 Tyniec Mały, wpisaną do Rejestru Przedsiębiorców Krajowego Rejestru Sądowego prowadzonego przez Sąd Rejonowy dla Wrocławia -Fabrycznej we Wrocławiu pod numerem KRS: 0000884173, NIP 896 1601236</w:t>
      </w:r>
    </w:p>
    <w:p w14:paraId="508DF4C1" w14:textId="77777777" w:rsidR="00662D67" w:rsidRDefault="00000000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Regulamin obowiązuje wszystkich pracowników Centrum, a także osoby wykonujące świadczenia zdrowotne na rzecz Centrum na podstawie umów cywilnoprawnych, pacjentów Centrum, osoby odwiedzające oraz inne osoby przebywające na terenie zakładu leczniczego Centrum w związku z procesem udzielania świadczeń zdrowotnych.</w:t>
      </w:r>
    </w:p>
    <w:p w14:paraId="70F38214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2.</w:t>
      </w:r>
    </w:p>
    <w:p w14:paraId="48D21DAB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Cele i zadania</w:t>
      </w:r>
    </w:p>
    <w:p w14:paraId="3FC9123F" w14:textId="77777777" w:rsidR="00662D67" w:rsidRDefault="0000000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Celem działalności Centrum jest udzielanie </w:t>
      </w:r>
      <w:r>
        <w:rPr>
          <w:rFonts w:ascii="Open Sans" w:hAnsi="Open Sans" w:cs="Calibri"/>
          <w:sz w:val="18"/>
          <w:szCs w:val="18"/>
          <w:shd w:val="clear" w:color="auto" w:fill="FFFFFF"/>
        </w:rPr>
        <w:t>świadczeń zdrowotnych z zakresu poradni specjalistycznych, a także promocja zdrowia i prowadzenie edukacji zdrowotnej.</w:t>
      </w:r>
    </w:p>
    <w:p w14:paraId="1FCDCEA9" w14:textId="77777777" w:rsidR="00662D67" w:rsidRDefault="00000000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Zadaniami Centrum są:</w:t>
      </w:r>
    </w:p>
    <w:p w14:paraId="357DDFB8" w14:textId="77777777" w:rsidR="00662D67" w:rsidRDefault="0000000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udzielanie świadczeń zdrowotnych zgodnie z aktualną wiedzą medyczną, poszanowaniem praw pacjenta, a także zgodnie z zasadami etyki oraz powszechnie obowiązującymi przepisami prawa;</w:t>
      </w:r>
    </w:p>
    <w:p w14:paraId="38FC63C5" w14:textId="77777777" w:rsidR="00662D67" w:rsidRDefault="0000000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promocja zdrowia oraz edukacja zdrowotna pacjentów;</w:t>
      </w:r>
    </w:p>
    <w:p w14:paraId="458C52CF" w14:textId="77777777" w:rsidR="00662D67" w:rsidRDefault="0000000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wykonywanie innych zadań Centrum w zakresie wynikającym z powszechnie obowiązujących przepisów prawa.</w:t>
      </w:r>
    </w:p>
    <w:p w14:paraId="3351ABA9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3.</w:t>
      </w:r>
    </w:p>
    <w:p w14:paraId="5F3351C7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Struktura organizacyjna</w:t>
      </w:r>
    </w:p>
    <w:p w14:paraId="4ED521E6" w14:textId="77777777" w:rsidR="00662D67" w:rsidRDefault="00000000">
      <w:pPr>
        <w:pStyle w:val="Akapitzlist"/>
        <w:numPr>
          <w:ilvl w:val="0"/>
          <w:numId w:val="7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Miejscem udzielania świadczeń zdrowotnych jest podmiot leczniczy SUN-MED Centrum Medyczne z siedzibą przy ul. Obrońców Poczty Gdańskiej 15b/1 we Wrocławiu</w:t>
      </w:r>
    </w:p>
    <w:p w14:paraId="61824FE4" w14:textId="77777777" w:rsidR="00662D67" w:rsidRDefault="00000000">
      <w:pPr>
        <w:pStyle w:val="Akapitzlist"/>
        <w:numPr>
          <w:ilvl w:val="0"/>
          <w:numId w:val="7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W ramach zakładu leczniczego, o którym mowa w ust. 1, funkcjonują komercyjne poradnie specjalistyczne:</w:t>
      </w:r>
    </w:p>
    <w:p w14:paraId="5F3FC7C6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Angiologiczna,</w:t>
      </w:r>
    </w:p>
    <w:p w14:paraId="2CDFF0FD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Alergologiczna,</w:t>
      </w:r>
    </w:p>
    <w:p w14:paraId="262CEFA1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Alergologiczna dla dzieci,</w:t>
      </w:r>
    </w:p>
    <w:p w14:paraId="24F1C589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Chorób Wewnętrznych,</w:t>
      </w:r>
    </w:p>
    <w:p w14:paraId="6A33EEA3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Dermatologiczna,</w:t>
      </w:r>
    </w:p>
    <w:p w14:paraId="6556C332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Dermatologiczna dla dzieci,</w:t>
      </w:r>
    </w:p>
    <w:p w14:paraId="4C8B4927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Endokrynologiczna,</w:t>
      </w:r>
    </w:p>
    <w:p w14:paraId="16823DE7" w14:textId="77777777" w:rsidR="00662D67" w:rsidRDefault="00000000">
      <w:pPr>
        <w:pStyle w:val="Akapitzlist"/>
        <w:numPr>
          <w:ilvl w:val="0"/>
          <w:numId w:val="9"/>
        </w:numPr>
        <w:spacing w:before="120" w:after="120"/>
        <w:contextualSpacing w:val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Dietetyczna</w:t>
      </w:r>
    </w:p>
    <w:p w14:paraId="1D8D8D81" w14:textId="77777777" w:rsidR="00662D67" w:rsidRDefault="00000000">
      <w:pPr>
        <w:pStyle w:val="Akapitzlist"/>
        <w:numPr>
          <w:ilvl w:val="0"/>
          <w:numId w:val="7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t>W ramach zakładu leczniczego, o którym mowa w ust. 1, funkcjonują również:</w:t>
      </w:r>
    </w:p>
    <w:p w14:paraId="5A7A4562" w14:textId="77777777" w:rsidR="00662D67" w:rsidRDefault="00000000">
      <w:pPr>
        <w:pStyle w:val="Akapitzlist"/>
        <w:numPr>
          <w:ilvl w:val="0"/>
          <w:numId w:val="30"/>
        </w:numPr>
        <w:spacing w:before="120" w:after="120"/>
      </w:pPr>
      <w:r>
        <w:rPr>
          <w:rFonts w:ascii="Open Sans" w:hAnsi="Open Sans" w:cs="Calibri"/>
          <w:sz w:val="18"/>
          <w:szCs w:val="18"/>
        </w:rPr>
        <w:t xml:space="preserve">Pracownia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>,</w:t>
      </w:r>
    </w:p>
    <w:p w14:paraId="1FC4B14C" w14:textId="77777777" w:rsidR="00662D67" w:rsidRDefault="00000000">
      <w:pPr>
        <w:pStyle w:val="Akapitzlist"/>
        <w:numPr>
          <w:ilvl w:val="0"/>
          <w:numId w:val="30"/>
        </w:numPr>
        <w:spacing w:before="120" w:after="120"/>
      </w:pPr>
      <w:r>
        <w:rPr>
          <w:rFonts w:ascii="Open Sans" w:hAnsi="Open Sans" w:cs="Calibri"/>
          <w:sz w:val="18"/>
          <w:szCs w:val="18"/>
        </w:rPr>
        <w:lastRenderedPageBreak/>
        <w:t xml:space="preserve">Pracownia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dla dzieci,</w:t>
      </w:r>
    </w:p>
    <w:p w14:paraId="57D26B47" w14:textId="77777777" w:rsidR="00662D67" w:rsidRDefault="00000000">
      <w:pPr>
        <w:pStyle w:val="Akapitzlist"/>
        <w:numPr>
          <w:ilvl w:val="0"/>
          <w:numId w:val="30"/>
        </w:numPr>
        <w:spacing w:before="120" w:after="120"/>
      </w:pPr>
      <w:r>
        <w:rPr>
          <w:rFonts w:ascii="Open Sans" w:hAnsi="Open Sans" w:cs="Calibri"/>
          <w:sz w:val="18"/>
          <w:szCs w:val="18"/>
        </w:rPr>
        <w:t>Gabinet diagnostyczno-zabiegowy.</w:t>
      </w:r>
    </w:p>
    <w:p w14:paraId="3E6A6540" w14:textId="77777777" w:rsidR="00662D67" w:rsidRDefault="00000000">
      <w:pPr>
        <w:pStyle w:val="Standard"/>
        <w:spacing w:before="120" w:after="120"/>
        <w:ind w:left="3540" w:firstLine="708"/>
      </w:pPr>
      <w:r>
        <w:rPr>
          <w:rFonts w:ascii="Open Sans" w:hAnsi="Open Sans" w:cs="Calibri"/>
          <w:b/>
          <w:bCs/>
        </w:rPr>
        <w:t>§ 4.</w:t>
      </w:r>
    </w:p>
    <w:p w14:paraId="12BB15A7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Rodzaj i zakres udzielanych świadczeń zdrowotnych</w:t>
      </w:r>
    </w:p>
    <w:p w14:paraId="2E3A737F" w14:textId="77777777" w:rsidR="00662D67" w:rsidRDefault="00000000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shd w:val="clear" w:color="auto" w:fill="FFFFFF"/>
        </w:rPr>
        <w:t>Centrum prowadzi działalność leczniczą w rodzaju ambulatoryjnych świadczeń zdrowotnych.</w:t>
      </w:r>
    </w:p>
    <w:p w14:paraId="136DA216" w14:textId="77777777" w:rsidR="00662D67" w:rsidRDefault="00000000">
      <w:pPr>
        <w:pStyle w:val="Akapitzlist"/>
        <w:numPr>
          <w:ilvl w:val="0"/>
          <w:numId w:val="2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shd w:val="clear" w:color="auto" w:fill="FFFFFF"/>
        </w:rPr>
        <w:t>Centrum udziela ambulatoryjnych świadczeń zdrowotnych z zakresu alergologii, angiologii, chorób wewnętrznych, endokrynologii, dermatologii, dietetyki jak również diagnostyki ultrasonograficznej, obejmujących:</w:t>
      </w:r>
    </w:p>
    <w:p w14:paraId="6FEFDC63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bookmarkStart w:id="0" w:name="_Hlk54949133"/>
      <w:r>
        <w:rPr>
          <w:rFonts w:ascii="Open Sans" w:hAnsi="Open Sans" w:cs="Calibri"/>
          <w:sz w:val="18"/>
          <w:szCs w:val="18"/>
        </w:rPr>
        <w:t>udzielanie konsultacji lekarskich;</w:t>
      </w:r>
    </w:p>
    <w:p w14:paraId="5FE6BD38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wydawanie orzeczeń i zaświadczeń dotyczących stanu zdrowia pacjentów;</w:t>
      </w:r>
    </w:p>
    <w:p w14:paraId="31F605E8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wystawianie recept;</w:t>
      </w:r>
    </w:p>
    <w:p w14:paraId="464D52B9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udzielanie świadczeń drogą elektroniczną, w postaci tzw. konsultacji on-line (teleporad) i wizyt recepturowych;</w:t>
      </w:r>
    </w:p>
    <w:p w14:paraId="1F6B5AF3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promocja zdrowia i edukacja zdrowotna pacjentów;</w:t>
      </w:r>
    </w:p>
    <w:p w14:paraId="748CEAA6" w14:textId="77777777" w:rsidR="00662D67" w:rsidRDefault="00000000">
      <w:pPr>
        <w:pStyle w:val="Akapitzlist"/>
        <w:numPr>
          <w:ilvl w:val="0"/>
          <w:numId w:val="27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wykonywanie badań diagnostycznych obejmujących badania ultrasonograficzne, EKG, spirometrię, punktowe testy skórne z alergenami wziewnymi i pokarmowymi, testy płatkowe, szybkie testy typu Point of </w:t>
      </w:r>
      <w:proofErr w:type="spellStart"/>
      <w:r>
        <w:rPr>
          <w:rFonts w:ascii="Open Sans" w:hAnsi="Open Sans" w:cs="Calibri"/>
          <w:sz w:val="18"/>
          <w:szCs w:val="18"/>
        </w:rPr>
        <w:t>care</w:t>
      </w:r>
      <w:proofErr w:type="spellEnd"/>
      <w:r>
        <w:rPr>
          <w:rFonts w:ascii="Open Sans" w:hAnsi="Open Sans" w:cs="Calibri"/>
          <w:sz w:val="18"/>
          <w:szCs w:val="18"/>
        </w:rPr>
        <w:t xml:space="preserve"> (CRP, wymazy w kierunku grypy, Covid, RSV, </w:t>
      </w:r>
      <w:proofErr w:type="spellStart"/>
      <w:r>
        <w:rPr>
          <w:rFonts w:ascii="Open Sans" w:hAnsi="Open Sans" w:cs="Calibri"/>
          <w:sz w:val="18"/>
          <w:szCs w:val="18"/>
        </w:rPr>
        <w:t>strep</w:t>
      </w:r>
      <w:proofErr w:type="spellEnd"/>
      <w:r>
        <w:rPr>
          <w:rFonts w:ascii="Open Sans" w:hAnsi="Open Sans" w:cs="Calibri"/>
          <w:sz w:val="18"/>
          <w:szCs w:val="18"/>
        </w:rPr>
        <w:t>-test itp.).</w:t>
      </w:r>
      <w:bookmarkEnd w:id="0"/>
    </w:p>
    <w:p w14:paraId="5D12E25B" w14:textId="77777777" w:rsidR="00662D67" w:rsidRDefault="00000000">
      <w:pPr>
        <w:pStyle w:val="Standard"/>
        <w:spacing w:before="120" w:after="120"/>
        <w:ind w:left="3192" w:firstLine="348"/>
      </w:pPr>
      <w:r>
        <w:rPr>
          <w:rFonts w:ascii="Open Sans" w:hAnsi="Open Sans" w:cs="Calibri"/>
          <w:b/>
          <w:bCs/>
        </w:rPr>
        <w:t>§ 5.</w:t>
      </w:r>
    </w:p>
    <w:p w14:paraId="3882A73C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Miejsce i przebieg udzielania świadczeń zdrowotnych</w:t>
      </w:r>
    </w:p>
    <w:p w14:paraId="07566B0A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Świadczenia zdrowotne są udzielane w zakładzie leczniczym Centrum Medyczne SUN-MED.</w:t>
      </w:r>
    </w:p>
    <w:p w14:paraId="195501A1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Świadczenia zdrowotne udzielane są w godzinach od 15:00-19:00 w dni powszednie oraz od 09:00 do 14:00 w wybrane soboty.  W uzasadnionych przypadkach Kierownik Centrum może podjąć decyzję o przyjęciu pacjenta lub udzieleniu świadczenia drogą elektroniczną w innych godzinach, po uprzednim uzgodnieniu terminu przyjęcia z pacjentem lub jego przedstawicielem ustawowym lub faktycznym.</w:t>
      </w:r>
    </w:p>
    <w:p w14:paraId="6D2C2A4B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Rejestracja pacjentów odbywa się osobiście, telefonicznie (nr tel. 608 412 109; 662 144 719) lub może być dokonywana internetowo poprzez systemy rezerwacji on-line. Przed każdą wizytą pacjent lub jego przedstawiciel ustawowy obowiązany jest okazać dowód tożsamości celem weryfikacji (dowód osobisty, paszport lub prawo jazdy). W przypadku świadczeń udzielanych drogą elektroniczną, weryfikacja tożsamości Pacjenta dokonywana jest poprzez podanie przez Pacjenta następujących danych: imię i nazwisko, PESEL, adres zamieszkania (jeżeli jest konieczny dla udzielenia świadczenia zdrowotnego).</w:t>
      </w:r>
    </w:p>
    <w:p w14:paraId="525F70E9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jc w:val="both"/>
      </w:pPr>
      <w:r>
        <w:rPr>
          <w:rFonts w:ascii="Open Sans" w:hAnsi="Open Sans" w:cs="Calibri"/>
          <w:sz w:val="18"/>
          <w:szCs w:val="18"/>
        </w:rPr>
        <w:t>Usługi medyczne oferowane przez Centrum są świadczeniami odpłatnymi.</w:t>
      </w:r>
    </w:p>
    <w:p w14:paraId="327B899D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Płatność za udzielone świadczenia następuje po wykonaniu świadczenia.</w:t>
      </w:r>
    </w:p>
    <w:p w14:paraId="485B2640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 przypadku świadczeń medycznych udzielanych drogą elektroniczną – ich realizacja jest możliwa po wcześniejszym wykonaniu opłaty, nie później niż 24 godziny przed terminem udzielenia świadczenia. Przed wykonaniem</w:t>
      </w:r>
      <w:r>
        <w:rPr>
          <w:rFonts w:ascii="Open Sans" w:hAnsi="Open Sans" w:cs="Calibri"/>
        </w:rPr>
        <w:t xml:space="preserve"> </w:t>
      </w:r>
      <w:r>
        <w:rPr>
          <w:rFonts w:ascii="Open Sans" w:hAnsi="Open Sans" w:cs="Calibri"/>
          <w:sz w:val="18"/>
          <w:szCs w:val="18"/>
        </w:rPr>
        <w:t>usługi pacjent zostanie poinformowany o kosztach świadczenia. W przypadku, gdy w trakcie udzielania świadczenia powstanie konieczność udzielenia świadczeń dodatkowych, pacjent zostanie poinformowany o takiej konieczności, jak również o wysokości kosztów udzielenia świadczeń dodatkowych. Zapłata za świadczenia dodatkowe następuje po ich udzieleniu, nie później jednak niż w dniu wizyty.</w:t>
      </w:r>
    </w:p>
    <w:p w14:paraId="6BD73366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Centrum akceptuje następujące formy płatności:</w:t>
      </w:r>
    </w:p>
    <w:p w14:paraId="39DBBB34" w14:textId="77777777" w:rsidR="00662D67" w:rsidRDefault="00000000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gotówka;</w:t>
      </w:r>
    </w:p>
    <w:p w14:paraId="3DA98A24" w14:textId="77777777" w:rsidR="00662D67" w:rsidRDefault="00000000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przelew bankowy;</w:t>
      </w:r>
    </w:p>
    <w:p w14:paraId="2C254F29" w14:textId="77777777" w:rsidR="00662D67" w:rsidRDefault="00000000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lastRenderedPageBreak/>
        <w:t>BLIK;</w:t>
      </w:r>
    </w:p>
    <w:p w14:paraId="2E5AA7B2" w14:textId="77777777" w:rsidR="00662D67" w:rsidRDefault="00000000">
      <w:pPr>
        <w:pStyle w:val="Akapitzlist"/>
        <w:numPr>
          <w:ilvl w:val="0"/>
          <w:numId w:val="1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karta kredytowa/płatnicza.</w:t>
      </w:r>
    </w:p>
    <w:p w14:paraId="66E01C4C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Przed przystąpieniem do udzielania świadczeń Pacjent zobowiązany jest udzielić personelowi udzielającemu świadczeń wszelkich informacji i wyjaśnień, jakie będą niezbędne dla zapewnienia należytej realizacji świadczeń zdrowotnych, w tym w szczególności pełnej informacji na temat swojego stanu zdrowia, tj.: przebytych i obecnych chorób, urazów, reakcji alergicznych, przyjmowanych leków, nadwrażliwości na leki, informacji o ciąży;  okazać posiadaną dokumentację medyczną wraz z wynikami badań, podać swoje dane osobowe w zakresie niezbędnym do weryfikacji tożsamości oraz uzasadnionym zakresem udzielanych świadczeń zdrowotnych oraz prowadzeniem dokumentacji medycznej.</w:t>
      </w:r>
    </w:p>
    <w:p w14:paraId="3EAA7822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Korzystanie z usług medycznych może rozpocząć się po zebraniu danych osobowych Pacjenta i uzyskaniu wymaganych zgód. Weryfikacja tożsamości Pacjenta przed wykonaniem świadczenia jest niezbędna dla ochrony jego danych, ochrony tajemnicy związanej ze świadczeniem usług medycznych oraz w celu bezpiecznego wykonania świadczenia. Brak weryfikacji tożsamości Pacjenta przez pracownika recepcji Centrum uniemożliwia odbycie wizyty.</w:t>
      </w:r>
    </w:p>
    <w:p w14:paraId="2CCF991A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Pacjent przyjmuje do wiadomości, że brak możliwości weryfikacji jego tożsamości lub odmowa weryfikacji skutkować będzie odmową udzielenia świadczenia zdrowotnego.</w:t>
      </w:r>
    </w:p>
    <w:p w14:paraId="333151BD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Pacjent korzystający ze świadczeń medycznych oświadcza, że zapoznał się z informacjami dotyczącymi przetwarzania Jego danych osobowych przez administratora danych. Potwierdza, że zrozumiał przekazane mu informacje, a wszelkie wątpliwości w tym zakresie zostały mu wyjaśnione.</w:t>
      </w:r>
    </w:p>
    <w:p w14:paraId="06198A98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Skorzystanie Pacjenta z dostępnych usług medycznych jest równoznaczne z wyrażeniem zgody na ich przeprowadzenie. W przypadku wybranych świadczeń (świadczenia inwazyjne, jak np. rozpoczęcie odczulania) wymagane jest udzielenie przez Pacjenta pisemnej Zgody przed ich udzieleniem. Zgodę na świadczenie zdrowotne może udzielić pacjent, który ukończył 16 lat, u którego świadczenie ma być wykonane. Jednocześnie, gdy pacjent nie ukończył 18 roku życia zgodę na świadczenie zdrowotne małoletniego musi wyrazić jego przedstawiciel ustawowy- pełnomocnik Pacjenta.  </w:t>
      </w:r>
    </w:p>
    <w:p w14:paraId="1CE68EE9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Świadczenie zdrowotne na rzecz małoletniego (u osoby nie posiadającej pełnej zdolności do czynności prawnej) może być wykonane wyłącznie w trakcie, w którym osoba ta znajduje się pod opieką rodzica/opiekuna prawnego lub wskazanej przez ww.  podmioty w drodze pisemnej upoważnionej osoby.</w:t>
      </w:r>
    </w:p>
    <w:p w14:paraId="54054222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Czas rozpoczęcia świadczenia jest orientacyjny. Centrum dokłada wszelkich starań, aby wizyty rozpoczynały się o wyznaczonej godzinie, zastrzegając możliwość opóźnienia związanego z koniecznością udzielania świadczeń zdrowotnych na rzecz innych Pacjentów w stanie zagrożenia życia lub zdrowia. </w:t>
      </w:r>
    </w:p>
    <w:p w14:paraId="68C6E2BF" w14:textId="77777777" w:rsidR="00662D67" w:rsidRDefault="00000000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Warunkami udzielenia świadczeń zdrowotnych są:</w:t>
      </w:r>
    </w:p>
    <w:p w14:paraId="30F5B5C5" w14:textId="77777777" w:rsidR="00662D67" w:rsidRDefault="00000000">
      <w:pPr>
        <w:pStyle w:val="Akapitzlist"/>
        <w:spacing w:before="120" w:after="120"/>
        <w:ind w:left="108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1) rejestracja wizyty zgodnie z postanowieniami Regulaminu,</w:t>
      </w:r>
    </w:p>
    <w:p w14:paraId="5D4B0E1F" w14:textId="77777777" w:rsidR="00662D67" w:rsidRDefault="00000000">
      <w:pPr>
        <w:pStyle w:val="Akapitzlist"/>
        <w:spacing w:before="120" w:after="120"/>
        <w:ind w:left="108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2)  dokonanie zapłaty za wybrane świadczenia (</w:t>
      </w:r>
      <w:r>
        <w:rPr>
          <w:rFonts w:ascii="Open Sans" w:hAnsi="Open Sans" w:cs="Calibri"/>
          <w:b/>
          <w:bCs/>
          <w:sz w:val="18"/>
          <w:szCs w:val="18"/>
        </w:rPr>
        <w:t>§</w:t>
      </w:r>
      <w:r>
        <w:rPr>
          <w:rFonts w:ascii="Open Sans" w:hAnsi="Open Sans" w:cs="Calibri"/>
          <w:sz w:val="18"/>
          <w:szCs w:val="18"/>
        </w:rPr>
        <w:t xml:space="preserve"> 5 ustęp 5)</w:t>
      </w:r>
    </w:p>
    <w:p w14:paraId="2369A703" w14:textId="77777777" w:rsidR="00662D67" w:rsidRDefault="00000000">
      <w:pPr>
        <w:pStyle w:val="Akapitzlist"/>
        <w:spacing w:before="120" w:after="120"/>
        <w:ind w:left="732" w:firstLine="348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3) wyrażenie przez Pacjenta świadomej zgody na udzielanie świadczeń zdrowotnych,</w:t>
      </w:r>
    </w:p>
    <w:p w14:paraId="2738D936" w14:textId="77777777" w:rsidR="00662D67" w:rsidRDefault="00000000">
      <w:pPr>
        <w:pStyle w:val="Akapitzlist"/>
        <w:spacing w:before="120" w:after="120"/>
        <w:ind w:left="108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4) udzielenie przez Pacjenta informacji, o których mowa w ust. 8;</w:t>
      </w:r>
    </w:p>
    <w:p w14:paraId="4AF1AC28" w14:textId="77777777" w:rsidR="00662D67" w:rsidRDefault="00000000">
      <w:pPr>
        <w:pStyle w:val="Standard"/>
        <w:tabs>
          <w:tab w:val="left" w:pos="3840"/>
        </w:tabs>
        <w:spacing w:before="120" w:after="120"/>
      </w:pPr>
      <w:r>
        <w:rPr>
          <w:rFonts w:ascii="Open Sans" w:hAnsi="Open Sans" w:cs="Calibri"/>
          <w:b/>
          <w:bCs/>
        </w:rPr>
        <w:tab/>
        <w:t>§ 6.</w:t>
      </w:r>
    </w:p>
    <w:p w14:paraId="34665592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Dostępność świadczeń zdrowotnych</w:t>
      </w:r>
    </w:p>
    <w:p w14:paraId="54ED901D" w14:textId="77777777" w:rsidR="00662D67" w:rsidRDefault="0000000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t>Centrum organizuje świadczenia zdrowotne w sposób zapewniający pacjentom możliwie najlepszą dostępność i najdogodniejszą formę korzystania ze świadczeń.</w:t>
      </w:r>
    </w:p>
    <w:p w14:paraId="38BE8CB7" w14:textId="77777777" w:rsidR="00662D67" w:rsidRDefault="0000000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Świadczenia zdrowotne udzielane są pacjentom odpłatnie, w oparciu o obowiązujący w dacie udzielenia świadczenia cennik ustalony przez Kierownika i stanowiący</w:t>
      </w:r>
      <w:r>
        <w:rPr>
          <w:rFonts w:ascii="Open Sans" w:hAnsi="Open Sans" w:cs="Calibri"/>
        </w:rPr>
        <w:t xml:space="preserve"> </w:t>
      </w:r>
      <w:r>
        <w:rPr>
          <w:rFonts w:ascii="Open Sans" w:hAnsi="Open Sans" w:cs="Calibri"/>
          <w:sz w:val="18"/>
          <w:szCs w:val="18"/>
        </w:rPr>
        <w:t>załącznik nr 1 do Regulaminu. Cennik opłat dostępny jest w rejestracji oraz na stronie internetowej www.sunmed.wroclaw.pl</w:t>
      </w:r>
    </w:p>
    <w:p w14:paraId="01291CB4" w14:textId="77777777" w:rsidR="00662D67" w:rsidRDefault="0000000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lastRenderedPageBreak/>
        <w:t>Centrum zastrzega sobie prawo do odmowy przyjęcia Pacjenta lub zaprzestania dalszego udzielania świadczeń zdrowotnych, nawet w trakcie jego wykonywania, w następujących przypadkach:</w:t>
      </w:r>
    </w:p>
    <w:p w14:paraId="213EDF2A" w14:textId="77777777" w:rsidR="00662D67" w:rsidRDefault="00000000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t>jeżeli stan zdrowia Pacjenta nie pozwala na udzielenie mu wybranego świadczenia zdrowotnego, zagraża personelowi medycznemu, pracownikom i współpracownikom Centrum, w szczególności wystąpienia widocznych u Pacjenta oznak infekcji bakteryjnej i wirusowej lub innych chorób zakaźnych  (m.in. grypa, przeziębienie, ospa, odra, gruźlica itp.) , chyba że udzielane świadczenia zdrowotne związane są bezpośrednio z procesem leczenia tych chorób albo ze względu na stan zdrowia i życia Pacjenta wymagane jest natychmiastowe udzielenie świadczenia zdrowotnego , bądź też obowiązek udzielenia świadczenia wynika z innych przepisów prawa;</w:t>
      </w:r>
    </w:p>
    <w:p w14:paraId="04040376" w14:textId="77777777" w:rsidR="00662D67" w:rsidRDefault="00000000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t>jeżeli mogłoby to rodzić ryzyko negatywnych skutków zdrowotnych (przeciwwskazania) lub kontynuowanie usługi byłoby sprzeczne z obowiązującymi normami prawa i wiedzy medycznej, a także w sytuacji, gdyby zachowanie pacjenta naruszało postanowienia Regulaminu Centrum lub normy współżycia społecznego</w:t>
      </w:r>
    </w:p>
    <w:p w14:paraId="2905837F" w14:textId="77777777" w:rsidR="00662D67" w:rsidRDefault="00000000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w przypadku wystąpienia stanu </w:t>
      </w: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t>zagrożenia epidemicznego lub ze względu na bezpieczeństwo zdrowotne pacjentów;</w:t>
      </w:r>
    </w:p>
    <w:p w14:paraId="5392751E" w14:textId="77777777" w:rsidR="00662D67" w:rsidRDefault="00000000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 xml:space="preserve">w przypadku naruszenia przez pacjenta, jego przedstawiciela ustawowego lub inne osoby towarzyszące pacjentowi obowiązków oraz zakazów </w:t>
      </w:r>
      <w:r>
        <w:rPr>
          <w:rFonts w:ascii="Open Sans" w:eastAsia="Times New Roman" w:hAnsi="Open Sans" w:cs="Calibri"/>
          <w:bCs/>
          <w:color w:val="000000"/>
          <w:sz w:val="18"/>
          <w:szCs w:val="18"/>
          <w:lang w:eastAsia="pl-PL"/>
        </w:rPr>
        <w:t>określonych w § 9 ust. 4 i 5 Regulaminu. Decyzję w tej sprawie podejmuje Kierownik albo inna osoba upoważniona przez Kierownika;</w:t>
      </w:r>
    </w:p>
    <w:p w14:paraId="34A3D727" w14:textId="77777777" w:rsidR="00662D67" w:rsidRDefault="00000000">
      <w:pPr>
        <w:pStyle w:val="Akapitzlist"/>
        <w:numPr>
          <w:ilvl w:val="0"/>
          <w:numId w:val="20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 innych przypadkach, gdy udzielenie świadczeń zdrowotnych jest niemożliwe z przyczyn niezależnych od Centrum</w:t>
      </w:r>
    </w:p>
    <w:p w14:paraId="0C81CDD6" w14:textId="77777777" w:rsidR="00662D67" w:rsidRDefault="00000000">
      <w:pPr>
        <w:pStyle w:val="Akapitzlist"/>
        <w:numPr>
          <w:ilvl w:val="0"/>
          <w:numId w:val="10"/>
        </w:numPr>
        <w:spacing w:before="120" w:after="120"/>
        <w:jc w:val="both"/>
      </w:pPr>
      <w:r>
        <w:rPr>
          <w:rFonts w:ascii="Open Sans" w:hAnsi="Open Sans" w:cs="Open Sans"/>
          <w:sz w:val="18"/>
          <w:szCs w:val="18"/>
        </w:rPr>
        <w:t xml:space="preserve">W przypadku zgłoszenia się pacjenta do Centrum z opóźnieniem – decyzję o wykonaniu świadczenia podejmuje lekarz, który może odmówić przyjęcia pacjenta. </w:t>
      </w:r>
    </w:p>
    <w:p w14:paraId="6AC235F9" w14:textId="77777777" w:rsidR="00662D67" w:rsidRDefault="00000000">
      <w:pPr>
        <w:pStyle w:val="Akapitzlist"/>
        <w:numPr>
          <w:ilvl w:val="0"/>
          <w:numId w:val="10"/>
        </w:numPr>
        <w:spacing w:before="120" w:after="120"/>
        <w:jc w:val="both"/>
      </w:pPr>
      <w:r>
        <w:rPr>
          <w:rFonts w:ascii="Open Sans" w:hAnsi="Open Sans" w:cs="Calibri"/>
          <w:sz w:val="18"/>
          <w:szCs w:val="18"/>
        </w:rPr>
        <w:t>W przypadku odmowy udzielenia świadczenia zdrowotnego Centrum zobowiązuje się zagwarantować i zarezerwować Pacjentowi najbliższy wolny termin wykonania świadczenia zdrowotnego lub wskazać inne miejsce realizacji świadczenia. Powyższa odmowa znajduje uzasadnienie w przepisach powszechnie obowiązującego prawa, w tym m.in. art. 30 ustawy o zawodzie lekarza i lekarz dentysty, art. 7 Kodeksu Etyki Lekarskiej, art. 15 ustawy o działalności leczniczej, art. 210 § 1 Kodeksu Pracy.</w:t>
      </w:r>
    </w:p>
    <w:p w14:paraId="379D8A3E" w14:textId="77777777" w:rsidR="00662D67" w:rsidRDefault="00000000">
      <w:pPr>
        <w:pStyle w:val="Akapitzlist"/>
        <w:numPr>
          <w:ilvl w:val="0"/>
          <w:numId w:val="10"/>
        </w:numPr>
        <w:spacing w:before="120" w:after="120"/>
      </w:pPr>
      <w:r>
        <w:rPr>
          <w:rFonts w:ascii="Open Sans" w:hAnsi="Open Sans" w:cs="Calibri"/>
          <w:sz w:val="18"/>
          <w:szCs w:val="18"/>
        </w:rPr>
        <w:t>Centrum może odmówić wykonania Świadczenia zdrowotnego lub innego zabiegu bez podania przyczyny, jednak musi wskazać inny ośrodek, w którym pacjent ma możliwość zrealizowania danej usługi medycznej,</w:t>
      </w:r>
    </w:p>
    <w:p w14:paraId="31CD3EDF" w14:textId="77777777" w:rsidR="00662D67" w:rsidRDefault="00662D67">
      <w:pPr>
        <w:pStyle w:val="Akapitzlist"/>
        <w:spacing w:before="120" w:after="120"/>
        <w:ind w:left="3900" w:firstLine="348"/>
        <w:rPr>
          <w:rFonts w:ascii="Open Sans" w:hAnsi="Open Sans" w:cs="Calibri"/>
          <w:b/>
          <w:bCs/>
        </w:rPr>
      </w:pPr>
    </w:p>
    <w:p w14:paraId="29F1BC64" w14:textId="77777777" w:rsidR="00662D67" w:rsidRDefault="00000000">
      <w:pPr>
        <w:pStyle w:val="Akapitzlist"/>
        <w:spacing w:before="120" w:after="120"/>
        <w:ind w:left="3900" w:firstLine="348"/>
      </w:pPr>
      <w:r>
        <w:rPr>
          <w:rFonts w:ascii="Open Sans" w:hAnsi="Open Sans" w:cs="Calibri"/>
          <w:b/>
          <w:bCs/>
        </w:rPr>
        <w:t>§ 7.</w:t>
      </w:r>
    </w:p>
    <w:p w14:paraId="39D517D4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Jakość świadczeń zdrowotnych</w:t>
      </w:r>
    </w:p>
    <w:p w14:paraId="3EFFEF24" w14:textId="77777777" w:rsidR="00662D67" w:rsidRDefault="0000000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Świadczenia zdrowotne w Centrum są wykonywane przez personel posiadający odpowiednie kwalifikacje i uprawnienia określone w odrębnych przepisach.</w:t>
      </w:r>
    </w:p>
    <w:p w14:paraId="7B860AB9" w14:textId="77777777" w:rsidR="00662D67" w:rsidRDefault="0000000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Świadczenia zdrowotne udzielane są pacjentom z należytą starannością, zgodnie z aktualną wiedzą medyczną, poszanowaniem praw pacjenta oraz w warunkach odpowiadających obowiązującym w tym zakresie wymaganiom fachowym i sanitarnym.</w:t>
      </w:r>
    </w:p>
    <w:p w14:paraId="60564275" w14:textId="77777777" w:rsidR="00662D67" w:rsidRDefault="0000000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Osoby udzielające pacjentom świadczeń zdrowotnych kierują się zasadami etyki zawodowej określonymi przez właściwe samorządy zawodów medycznych.</w:t>
      </w:r>
    </w:p>
    <w:p w14:paraId="68406808" w14:textId="77777777" w:rsidR="00662D67" w:rsidRDefault="00000000">
      <w:pPr>
        <w:pStyle w:val="Akapitzlist"/>
        <w:spacing w:before="120" w:after="120"/>
        <w:ind w:left="360"/>
        <w:contextualSpacing w:val="0"/>
        <w:jc w:val="center"/>
      </w:pPr>
      <w:r>
        <w:rPr>
          <w:rFonts w:ascii="Open Sans" w:hAnsi="Open Sans" w:cs="Calibri"/>
          <w:b/>
          <w:bCs/>
          <w:lang w:eastAsia="pl-PL"/>
        </w:rPr>
        <w:t>§ 8.</w:t>
      </w:r>
    </w:p>
    <w:p w14:paraId="09E3D978" w14:textId="77777777" w:rsidR="00662D67" w:rsidRDefault="00000000">
      <w:pPr>
        <w:pStyle w:val="Standard"/>
        <w:spacing w:before="120" w:after="120"/>
        <w:jc w:val="center"/>
        <w:rPr>
          <w:rFonts w:ascii="Open Sans" w:hAnsi="Open Sans" w:cs="Calibri"/>
          <w:b/>
          <w:bCs/>
        </w:rPr>
      </w:pPr>
      <w:r>
        <w:rPr>
          <w:rFonts w:ascii="Open Sans" w:hAnsi="Open Sans" w:cs="Calibri"/>
          <w:b/>
          <w:bCs/>
        </w:rPr>
        <w:t>Organizacja poszczególnych komórek organizacyjnych oraz zakres współdziałania między tymi komórkami.</w:t>
      </w:r>
    </w:p>
    <w:p w14:paraId="051A8CEA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1.Poradnia Angiologiczna. Powstała komórka organizacyjna i zatrudnieni w niej lekarze zajmują się diagnostyką i leczeniem chorób naczyń. Zadanie, o którym mowa realizowane jest przez zatrudnionych </w:t>
      </w:r>
      <w:r>
        <w:rPr>
          <w:rFonts w:ascii="Open Sans" w:hAnsi="Open Sans" w:cs="Calibri"/>
          <w:sz w:val="18"/>
          <w:szCs w:val="18"/>
        </w:rPr>
        <w:lastRenderedPageBreak/>
        <w:t>lekarzy w kilku obszarach, których celem jest profilaktyka, zachowanie zdrowia oraz rozpoznanie i leczenie chorób. Odbywa się to za pomocą:</w:t>
      </w:r>
    </w:p>
    <w:p w14:paraId="669CA8F3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1) przeprowadzenia badania podmiotowego i przedmiotowego pacjenta zgodnie z aktualną wiedzą medyczną,</w:t>
      </w:r>
    </w:p>
    <w:p w14:paraId="230A581B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2) przeprowadzenia wstępnych badań diagnostycznych, w tym badania ultrasonograficznego naczyń, w razie konieczności skierowanie do innych komórek organizacyjnych Centrum lub w razie braku możliwości diagnostycznych do innych ośrodków prowadzących diagnostykę,</w:t>
      </w:r>
    </w:p>
    <w:p w14:paraId="5EE2D7E0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3) kierowanie pacjenta na konsultacje specjalistyczne lub do jednostek lecznictwa zamkniętego w celu dalszej diagnostyki i leczenia, w przypadku, gdy lekarz uzna to za konieczne.</w:t>
      </w:r>
    </w:p>
    <w:p w14:paraId="3F80A4E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2.Poradnia Alergologiczna. Powstała komórka organizacyjna i zatrudnieni w niej lekarze zajmują się diagnostyką i leczeniem chorób alergicznych. Zadanie, o którym mowa realizowane jest przez zatrudnionych lekarzy w kilku obszarach, których celem jest profilaktyka, zachowanie zdrowia oraz rozpoznanie i leczenie chorób. Odbywa się to za pomocą:</w:t>
      </w:r>
    </w:p>
    <w:p w14:paraId="454448A1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1) przeprowadzenia badania podmiotowego i przedmiotowego pacjenta zgodnie z aktualną wiedzą medyczną,</w:t>
      </w:r>
    </w:p>
    <w:p w14:paraId="67A3203A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2)  przeprowadzenia wstępnych badań diagnostycznych, w tym m.in. badania spirometrycznego, punktowych testów skórnych, testów płatkowych, w razie konieczności skierowanie do innych komórek organizacyjnych Centrum lub w razie braku możliwości diagnostycznych do innych ośrodków prowadzących diagnostykę,</w:t>
      </w:r>
    </w:p>
    <w:p w14:paraId="781845CE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3) prowadzenie immunoterapii swoistej drogą podskórną i podjęzykową,</w:t>
      </w:r>
    </w:p>
    <w:p w14:paraId="563AEFE3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4) kierowanie pacjenta na konsultacje specjalistyczne lub do jednostek lecznictwa zamkniętego w celu dalszej diagnostyki i leczenia, w przypadku, gdy lekarz uzna to za konieczne.</w:t>
      </w:r>
    </w:p>
    <w:p w14:paraId="2E11C1A4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3. Poradnia Alergologiczna dla dzieci. Powstała komórka organizacyjna i zatrudnieni w niej lekarze zajmują się diagnostyką i leczeniem chorób alergicznych dzieci. Zadanie, o którym mowa realizowane jest przez zatrudnionych lekarzy w kilku obszarach, których celem jest profilaktyka, zachowanie zdrowia oraz rozpoznanie i leczenie chorób alergicznych. Odbywa się to za pomocą:</w:t>
      </w:r>
    </w:p>
    <w:p w14:paraId="7A3E72D0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1) przeprowadzenia badania podmiotowego i przedmiotowego pacjenta zgodnie z aktualną wiedzą medyczną,</w:t>
      </w:r>
    </w:p>
    <w:p w14:paraId="48C78548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2) przeprowadzenia wstępnych badań diagnostycznych, w tym m.in. badania spirometrycznego, punktowych testów skórnych, testów płatkowych, a w razie konieczności skierowanie do innych komórek organizacyjnych Centrum lub w razie braku możliwości diagnostycznych do innych ośrodków prowadzących diagnostykę,</w:t>
      </w:r>
    </w:p>
    <w:p w14:paraId="2950EE67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3) prowadzenie immunoterapii swoistej drogą podskórną i podjęzykową,</w:t>
      </w:r>
    </w:p>
    <w:p w14:paraId="20D6B7B1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4) kierowanie pacjenta na konsultacje specjalistyczne lub do jednostek lecznictwa zamkniętego w celu dalszej diagnostyki i leczenia, w przypadku, gdy lekarz uzna to za konieczne.</w:t>
      </w:r>
    </w:p>
    <w:p w14:paraId="6851C5B5" w14:textId="77777777" w:rsidR="00662D67" w:rsidRDefault="00000000">
      <w:pPr>
        <w:pStyle w:val="Standard"/>
        <w:spacing w:before="120" w:after="120"/>
      </w:pPr>
      <w:r>
        <w:rPr>
          <w:rFonts w:ascii="Open Sans" w:hAnsi="Open Sans" w:cs="Calibri"/>
          <w:sz w:val="18"/>
          <w:szCs w:val="18"/>
        </w:rPr>
        <w:t>4.Poradnia chorób wewnętrznych</w:t>
      </w:r>
      <w:r>
        <w:rPr>
          <w:rFonts w:ascii="Open Sans" w:hAnsi="Open Sans" w:cs="Calibri"/>
        </w:rPr>
        <w:t xml:space="preserve">. </w:t>
      </w:r>
      <w:r>
        <w:rPr>
          <w:rFonts w:ascii="Open Sans" w:hAnsi="Open Sans" w:cs="Calibri"/>
          <w:sz w:val="18"/>
          <w:szCs w:val="18"/>
        </w:rPr>
        <w:t>Utworzona komórka ma za zadanie planowanie i organizację kompleksowej opieki nad pacjentem. Zadanie, o którym mowa realizowane jest przez zatrudnionych lekarzy w kilku obszarach, których celem jest profilaktyka, zachowanie zdrowia oraz rozpoznanie i leczenie chorób. Odbywa się to za pomocą:</w:t>
      </w:r>
    </w:p>
    <w:p w14:paraId="241AAABD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1) przeprowadzenia badania podmiotowego i przedmiotowego pacjenta zgodnie z aktualną wiedzą medyczną,</w:t>
      </w:r>
    </w:p>
    <w:p w14:paraId="2E14E369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2) przeprowadzenia wstępnych badań diagnostycznych, w tym wymazów w kierunku zakażeń wirusowych i bakteryjnych, testów CRP, EKG, spirometrii, pomiarów glukozy, w razie konieczności skierowanie do innych komórek organizacyjnych Centrum lub w razie braku możliwości diagnostycznych do innych ośrodków prowadzących diagnostykę,</w:t>
      </w:r>
    </w:p>
    <w:p w14:paraId="7265094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lastRenderedPageBreak/>
        <w:t xml:space="preserve">      3) kierowanie pacjenta na konsultacje specjalistyczne lub do jednostek lecznictwa zamkniętego w celu dalszej diagnostyki i leczenia, w przypadku, gdy lekarz uzna to za konieczne</w:t>
      </w:r>
    </w:p>
    <w:p w14:paraId="2923178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5. Poradnia dietetyczna. Powstała komórka organizacyjna i zatrudnieni w niej dietetycy zajmują się kompleksową opieką żywieniową obejmującą edukację i poradnictwo żywieniowe, wspomaganie procesu leczenia, profilaktyki i rehabilitacji u osób dorosłych.  Zadanie, o którym mowa realizowane jest przez zatrudnionych dietetyków w kilku obszarach, których celem jest profilaktyka, zachowanie zdrowia oraz wspomaganie leczenia chorób, w tym choroby </w:t>
      </w:r>
      <w:proofErr w:type="spellStart"/>
      <w:r>
        <w:rPr>
          <w:rFonts w:ascii="Open Sans" w:hAnsi="Open Sans" w:cs="Calibri"/>
          <w:sz w:val="18"/>
          <w:szCs w:val="18"/>
        </w:rPr>
        <w:t>otyłościowej</w:t>
      </w:r>
      <w:proofErr w:type="spellEnd"/>
      <w:r>
        <w:rPr>
          <w:rFonts w:ascii="Open Sans" w:hAnsi="Open Sans" w:cs="Calibri"/>
          <w:sz w:val="18"/>
          <w:szCs w:val="18"/>
        </w:rPr>
        <w:t>. Odbywa się to za pomocą:</w:t>
      </w:r>
    </w:p>
    <w:p w14:paraId="424B862A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1) przeprowadzenia dokładnego wywiadu i oceny stanu odżywienia pacjenta, analizy nawyków żywieniowych,</w:t>
      </w:r>
    </w:p>
    <w:p w14:paraId="6666E275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2) badania przedmiotowego pacjenta, w tym oceny masy i składu masy ciała, </w:t>
      </w:r>
    </w:p>
    <w:p w14:paraId="140A7D3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2)  stworzenie indywidualnego planu opieki żywieniowej, dostosowanego do zdrowia pacjenta, chorób współistniejących i planowanego leczenia</w:t>
      </w:r>
    </w:p>
    <w:p w14:paraId="71738C16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3) edukację żywieniową i udzielanie porad żywieniowych dla pacjentów,</w:t>
      </w:r>
    </w:p>
    <w:p w14:paraId="78D21CA7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4) współpracę z innymi specjalistami Centrum i poza Centrum w przypadku wystąpienia takiej konieczności</w:t>
      </w:r>
    </w:p>
    <w:p w14:paraId="2FA22BD4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6.Poradnia Dermatologiczna. Utworzona komórka ma za zadanie planowanie i organizację kompleksowej opieki nad pacjentem z problemami skórnymi. Zadanie, o którym mowa realizowane jest przez zatrudnionych lekarzy w kilku obszarach, których celem jest profilaktyka, zachowanie zdrowia oraz rozpoznanie i leczenie chorób. Odbywa się to za pomocą:</w:t>
      </w:r>
    </w:p>
    <w:p w14:paraId="7B7832E9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1) przeprowadzenia badania podmiotowego i przedmiotowego pacjenta zgodnie z aktualną wiedzą medyczną,</w:t>
      </w:r>
    </w:p>
    <w:p w14:paraId="4D461F1D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2) przeprowadzenia wstępnych badań diagnostycznych, w razie konieczności skierowanie do innych komórek organizacyjnych Centrum lub w razie braku możliwości diagnostycznych do innych ośrodków prowadzących diagnostykę,</w:t>
      </w:r>
    </w:p>
    <w:p w14:paraId="162468CA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3) kierowanie pacjenta na konsultacje specjalistyczne lub do jednostek lecznictwa zamkniętego w celu dalszej diagnostyki i leczenia, w przypadku, gdy lekarz uzna to za konieczne.</w:t>
      </w:r>
    </w:p>
    <w:p w14:paraId="0DD4CB47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7. Poradnia Dermatologiczna dla dzieci. Utworzona komórka ma za zadanie planowanie i organizację kompleksowej opieki nad pacjentem niepełnoletnim  z problemami skórnymi. Zadanie, o którym mowa realizowane jest przez zatrudnionych lekarzy w kilku obszarach, których celem jest profilaktyka, zachowanie zdrowia oraz rozpoznanie i leczenie chorób. Odbywa się to za pomocą:</w:t>
      </w:r>
    </w:p>
    <w:p w14:paraId="3787179E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1) przeprowadzenia badania podmiotowego i przedmiotowego pacjenta zgodnie z aktualną wiedzą medyczną,</w:t>
      </w:r>
    </w:p>
    <w:p w14:paraId="54A1E469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2) przeprowadzenia wstępnych badań diagnostycznych, w razie konieczności skierowanie do innych komórek organizacyjnych Centrum lub w razie braku możliwości diagnostycznych do innych ośrodków prowadzących diagnostykę,</w:t>
      </w:r>
    </w:p>
    <w:p w14:paraId="61C46C14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3) kierowanie pacjenta na konsultacje specjalistyczne lub do jednostek lecznictwa zamkniętego w celu dalszej diagnostyki i leczenia, w przypadku, gdy lekarz uzna to za konieczne</w:t>
      </w:r>
    </w:p>
    <w:p w14:paraId="47733699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8. Poradnia Endokrynologiczna. Utworzona komórka ma za zadanie planowanie i organizację kompleksowej opieki nad pacjentem z zaburzeniami endokrynologicznymi. Zadanie, o którym mowa realizowane jest przez zatrudnionych lekarzy w kilku obszarach, których celem jest profilaktyka, zachowanie zdrowia oraz rozpoznanie i leczenie chorób. Odbywa się to za pomocą:</w:t>
      </w:r>
    </w:p>
    <w:p w14:paraId="2A0264AC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1) przeprowadzenia badania podmiotowego i przedmiotowego pacjenta zgodnie z aktualną wiedzą medyczną,</w:t>
      </w:r>
    </w:p>
    <w:p w14:paraId="38DCF333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lastRenderedPageBreak/>
        <w:t xml:space="preserve">      2) przeprowadzenia wstępnych badań diagnostycznych, w tym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tarczycy, a w razie konieczności skierowanie do innych komórek organizacyjnych Centrum lub w razie braku możliwości diagnostycznych do innych ośrodków prowadzących diagnostykę, jeśli lekarz uzna to za konieczne. </w:t>
      </w:r>
    </w:p>
    <w:p w14:paraId="0F6AC7C4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3) kierowanie pacjenta na konsultacje specjalistyczne lub do jednostek lecznictwa zamkniętego w celu dalszej diagnostyki i leczenia, w przypadku, gdy lekarz uzna to za konieczne</w:t>
      </w:r>
    </w:p>
    <w:p w14:paraId="0E7E74A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9. W ramach Centrum utworzono również następujące Pracownie:</w:t>
      </w:r>
    </w:p>
    <w:p w14:paraId="244F262F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1) Pracownia USG – w Pracowni wykonywane są badania diagnostyczne ultrasonograficzne, obejmujące badania i pakiety badań (załącznik 1), z wyjątkiem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piersi,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ginekologicznego i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ortopedycznego. Pracownia współpracuje ze wszystkimi Poradniami Centrum, wykonuje również badania dla pacjentów kierowanych z innych placówek lub rejestrujących się na badanie samodzielnie. Wszyscy lekarze wykonujący badania posiadają wymagane kwalifikacje. Pacjent otrzymuje pisemny opis badania i w razie stwierdzenia nieprawidłowości, dokumentację zdjęciową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. Następnie chory, w razie potrzeby kierowany jest do innych Poradni Centrum lub do jednostek lecznictwa zamkniętego w celu dalszej diagnostyki i leczenia. </w:t>
      </w:r>
    </w:p>
    <w:p w14:paraId="0B788CEE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2) Pracownia USG dla dzieci – w Pracowni wykonywane są badania diagnostyczne ultrasonograficzne u dzieci, obejmujące badania i pakiety badań (załącznik 1), z wyjątkiem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 ortopedycznego. Pracownia współpracuje ze wszystkimi Poradniami Centrum, wykonuje również badania dla pacjentów kierowanych z innych placówek lub rejestrujących się na badanie samodzielnie. Wszyscy lekarze wykonujący badania posiadają wymagane kwalifikacje. Pacjent otrzymuje pisemny opis badania i w razie stwierdzenia nieprawidłowości, dokumentację zdjęciową </w:t>
      </w:r>
      <w:proofErr w:type="spellStart"/>
      <w:r>
        <w:rPr>
          <w:rFonts w:ascii="Open Sans" w:hAnsi="Open Sans" w:cs="Calibri"/>
          <w:sz w:val="18"/>
          <w:szCs w:val="18"/>
        </w:rPr>
        <w:t>usg</w:t>
      </w:r>
      <w:proofErr w:type="spellEnd"/>
      <w:r>
        <w:rPr>
          <w:rFonts w:ascii="Open Sans" w:hAnsi="Open Sans" w:cs="Calibri"/>
          <w:sz w:val="18"/>
          <w:szCs w:val="18"/>
        </w:rPr>
        <w:t xml:space="preserve">. Następnie chory, w razie potrzeby kierowany jest do innych Poradni Centrum lub do jednostek lecznictwa zamkniętego w celu dalszej diagnostyki i leczenia. </w:t>
      </w:r>
    </w:p>
    <w:p w14:paraId="2AC32E40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>3) Gabinet diagnostyczno-zabiegowy. W obrębie jednostki organizacyjnej wykonywane są następujące zadania:</w:t>
      </w:r>
    </w:p>
    <w:p w14:paraId="1CD21209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  - wykonywanie zabiegów pielęgnacyjno-leczniczych,</w:t>
      </w:r>
    </w:p>
    <w:p w14:paraId="420AB35E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 - wykonywanie iniekcji podskórnych, domięśniowych i dożylnych, </w:t>
      </w:r>
    </w:p>
    <w:p w14:paraId="2F8FFDA8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 - immunoterapia </w:t>
      </w:r>
      <w:proofErr w:type="spellStart"/>
      <w:r>
        <w:rPr>
          <w:rFonts w:ascii="Open Sans" w:hAnsi="Open Sans" w:cs="Calibri"/>
          <w:sz w:val="18"/>
          <w:szCs w:val="18"/>
        </w:rPr>
        <w:t>alergenowa</w:t>
      </w:r>
      <w:proofErr w:type="spellEnd"/>
      <w:r>
        <w:rPr>
          <w:rFonts w:ascii="Open Sans" w:hAnsi="Open Sans" w:cs="Calibri"/>
          <w:sz w:val="18"/>
          <w:szCs w:val="18"/>
        </w:rPr>
        <w:t xml:space="preserve"> podskórna,</w:t>
      </w:r>
    </w:p>
    <w:p w14:paraId="4202EE12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          - wykonywanie badań diagnostycznych takich jak EKG, spirometria, szybkich testów diagnostycznych (CRP, wymazy w kierunku chorób wirusowych i bakteryjnych), punktowe testy skórne, testy płatkowe. </w:t>
      </w:r>
    </w:p>
    <w:p w14:paraId="057412CB" w14:textId="77777777" w:rsidR="00662D67" w:rsidRDefault="00662D67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</w:p>
    <w:p w14:paraId="51019896" w14:textId="77777777" w:rsidR="00662D67" w:rsidRDefault="00000000">
      <w:pPr>
        <w:pStyle w:val="Standard"/>
        <w:spacing w:before="120" w:after="120"/>
        <w:rPr>
          <w:rFonts w:ascii="Open Sans" w:hAnsi="Open Sans" w:cs="Calibri"/>
          <w:sz w:val="18"/>
          <w:szCs w:val="18"/>
        </w:rPr>
      </w:pPr>
      <w:r>
        <w:rPr>
          <w:rFonts w:ascii="Open Sans" w:hAnsi="Open Sans" w:cs="Calibri"/>
          <w:sz w:val="18"/>
          <w:szCs w:val="18"/>
        </w:rPr>
        <w:t xml:space="preserve">Poszczególne jednostki organizacyjne mają obowiązek współdziałania ze sobą, w celu zapewnienia kompleksowej opieki dla pacjenta. </w:t>
      </w:r>
    </w:p>
    <w:p w14:paraId="45479E17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  <w:sz w:val="18"/>
          <w:szCs w:val="18"/>
        </w:rPr>
        <w:t>§ 9.</w:t>
      </w:r>
    </w:p>
    <w:p w14:paraId="6788ABE6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Dokumentacja medyczna</w:t>
      </w:r>
    </w:p>
    <w:p w14:paraId="013784B4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Centrum prowadzi, przechowuje i udostępnia dokumentację medyczną na zasadach określonych w ustawie z dnia 6 listopada 2008 r. o prawach pacjenta i Rzeczniku Praw Pacjenta oraz przepisach wykonawczych.</w:t>
      </w:r>
    </w:p>
    <w:p w14:paraId="49EAA151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Centrum zapewnia ochronę danych osobowych zawartych w dokumentacji medycznej. Dokumentacja medyczna przechowywana jest przez okres przewidziany w przepisach prawa powszechnie obowiązującego.</w:t>
      </w:r>
    </w:p>
    <w:p w14:paraId="493B758C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Pacjent ma prawo do informacji o swoim stanie zdrowia oraz prawo dostępu do swojej dokumentacji medycznej zgodnie z przepisami ustawy z dnia 06 listopada 2008 r. o prawach pacjenta i Rzeczniku Praw Pacjenta.</w:t>
      </w:r>
    </w:p>
    <w:p w14:paraId="091947FD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Centrum</w:t>
      </w:r>
      <w:r>
        <w:rPr>
          <w:rFonts w:ascii="Open Sans" w:hAnsi="Open Sans" w:cs="Calibri"/>
          <w:sz w:val="18"/>
          <w:szCs w:val="18"/>
          <w:lang w:eastAsia="pl-PL"/>
        </w:rPr>
        <w:t xml:space="preserve"> udostępnia dokumentację medyczną:</w:t>
      </w:r>
    </w:p>
    <w:p w14:paraId="29EB7D5E" w14:textId="77777777" w:rsidR="00662D67" w:rsidRDefault="00000000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Pacjentowi,</w:t>
      </w:r>
    </w:p>
    <w:p w14:paraId="4A354B6D" w14:textId="77777777" w:rsidR="00662D67" w:rsidRDefault="00000000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lastRenderedPageBreak/>
        <w:t>osobie upoważnionej przez pacjenta,</w:t>
      </w:r>
    </w:p>
    <w:p w14:paraId="799B6AFD" w14:textId="77777777" w:rsidR="00662D67" w:rsidRDefault="00000000">
      <w:pPr>
        <w:pStyle w:val="Akapitzlist"/>
        <w:numPr>
          <w:ilvl w:val="0"/>
          <w:numId w:val="29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upoważnionym organom</w:t>
      </w:r>
    </w:p>
    <w:p w14:paraId="5A64564F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Dokumentacja medyczna jest udostępniana w następujący sposób:</w:t>
      </w:r>
    </w:p>
    <w:p w14:paraId="564FEBD7" w14:textId="77777777" w:rsidR="00662D67" w:rsidRDefault="00000000">
      <w:p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 xml:space="preserve">                  1)do wglądu w Centrum w obecności pracownika udostępniającego dokumentację i w uzgodnionym terminie;</w:t>
      </w:r>
    </w:p>
    <w:p w14:paraId="53177A76" w14:textId="77777777" w:rsidR="00662D67" w:rsidRDefault="00000000">
      <w:p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 xml:space="preserve">                  2)przez sporządzenie jej kopii, odpisu, wyciągu lub wydruku;</w:t>
      </w:r>
    </w:p>
    <w:p w14:paraId="46C1D529" w14:textId="77777777" w:rsidR="00662D67" w:rsidRDefault="00000000">
      <w:pPr>
        <w:pStyle w:val="Akapitzlist"/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 xml:space="preserve">  3)przez wydanie oryginału za potwierdzeniem odbioru i z zastrzeżeniem zwrotu po wykorzystaniu, na żądanie organów władzy publicznej albo sądów powszechnych, a także w przypadku, gdy zwłoka w wydaniu dokumentacji mogłaby spowodować zagrożenie życia lub zdrowia pacjenta;</w:t>
      </w:r>
    </w:p>
    <w:p w14:paraId="151B6D00" w14:textId="77777777" w:rsidR="00662D67" w:rsidRDefault="00000000">
      <w:p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 xml:space="preserve">                 4)za pośrednictwem środków komunikacji elektronicznej;</w:t>
      </w:r>
    </w:p>
    <w:p w14:paraId="58314A14" w14:textId="77777777" w:rsidR="00662D67" w:rsidRDefault="00000000">
      <w:pPr>
        <w:pStyle w:val="Akapitzlist"/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5)na informatycznym nośniku danych.</w:t>
      </w:r>
    </w:p>
    <w:p w14:paraId="75F3BA21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Wydanie dokumentacji w formie kopii lub nośnika elektronicznego następuje za potwierdzeniem tożsamości wnioskodawcy dowodem osobistym lub innym dokumentem urzędowym ze zdjęciem.</w:t>
      </w:r>
    </w:p>
    <w:p w14:paraId="22386E2A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Dokumentacja wydawana jest bez zbędnej zwłoki, po złożeniu przez Pacjenta pisemnego wniosku o udostępnienie dokumentacji medycznej.</w:t>
      </w:r>
    </w:p>
    <w:p w14:paraId="69E70391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Dokumentacja medyczna prowadzona w formie papierowej może być udostępniona poprzez sporządzenie skanu i przekazanie w sposób określony w ust. 3 pkt 4 i 5, na żądanie pacjenta lub innych uprawnionych organów lub podmiotów.</w:t>
      </w:r>
    </w:p>
    <w:p w14:paraId="5E80C85C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Jeżeli wynik badań lub inne elementy dokumentacji medycznej mają być wysłane drogą elektroniczną, Pacjent powinien złożyć pisemną zgodę na udostępnienie dokumentacji w tej formie.</w:t>
      </w:r>
    </w:p>
    <w:p w14:paraId="0D9366D7" w14:textId="77777777" w:rsidR="00662D67" w:rsidRDefault="00000000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Udostępnienie dokumentacji medycznej po raz pierwszy jest bezpłatne; Centrum pobiera opłaty za udostępnienie dokumentacji medycznej po raz kolejny – wysokość opłat określona jest w cenniku stanowiącym załącznik nr 2 do Regulaminu.</w:t>
      </w:r>
    </w:p>
    <w:p w14:paraId="6ADCEB6B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10.</w:t>
      </w:r>
    </w:p>
    <w:p w14:paraId="3840533E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Prawa i obowiązki pacjenta</w:t>
      </w:r>
    </w:p>
    <w:p w14:paraId="16C6569B" w14:textId="77777777" w:rsidR="00662D67" w:rsidRDefault="00000000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Świadczenia zdrowotne udzielane są z poszanowaniem Praw Pacjenta określonych w ustawie z dnia 6 listopada 2008 r. o prawach pacjenta i Rzeczniku Praw Pacjenta, a także w przepisach odrębnych.</w:t>
      </w:r>
    </w:p>
    <w:p w14:paraId="51F52D0F" w14:textId="77777777" w:rsidR="00662D67" w:rsidRDefault="00000000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Pacjent, którego prawa zostały naruszone w trakcie korzystania ze świadczeń zdrowotnych ma prawo do złożenia ustnej lub pisemnej skargi do Kierownika lub osoby go zastępującej.</w:t>
      </w:r>
    </w:p>
    <w:p w14:paraId="45CE6D7E" w14:textId="77777777" w:rsidR="00662D67" w:rsidRDefault="00000000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Informacja o Prawach Pacjenta udostępniona jest pacjentom w miejscu udzielania świadczeń zdrowotnych w formie pisemnej, w miejscu ogólnodostępnym.</w:t>
      </w:r>
    </w:p>
    <w:p w14:paraId="1B4B5AD6" w14:textId="77777777" w:rsidR="00662D67" w:rsidRDefault="00000000">
      <w:pPr>
        <w:pStyle w:val="Akapitzlist"/>
        <w:numPr>
          <w:ilvl w:val="0"/>
          <w:numId w:val="13"/>
        </w:numPr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Pacjent ma obowiązek:</w:t>
      </w:r>
    </w:p>
    <w:p w14:paraId="34E871F9" w14:textId="77777777" w:rsidR="00662D67" w:rsidRDefault="00000000">
      <w:pPr>
        <w:pStyle w:val="Akapitzlist"/>
        <w:numPr>
          <w:ilvl w:val="0"/>
          <w:numId w:val="33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przestrzegania postanowień Regulaminu;</w:t>
      </w:r>
    </w:p>
    <w:p w14:paraId="54693A11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przestrzegania zasad higieny osobistej;</w:t>
      </w:r>
    </w:p>
    <w:p w14:paraId="63E58B7F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przestrzegania praw innych pacjentów;</w:t>
      </w:r>
    </w:p>
    <w:p w14:paraId="7825617F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szanowania mienia Centrum;</w:t>
      </w:r>
    </w:p>
    <w:p w14:paraId="4D1A4796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przestrzegania zasad bezpieczeństwa;</w:t>
      </w:r>
    </w:p>
    <w:p w14:paraId="0439287A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posiadania ważnych dokumentów pozwalających zidentyfikować jego tożsamość;</w:t>
      </w:r>
    </w:p>
    <w:p w14:paraId="1FD281C6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przekazanie osobie wykonującej świadczenie medyczne wszystkich niezbędnych informacji dotyczących swojego stanu zdrowia;</w:t>
      </w:r>
    </w:p>
    <w:p w14:paraId="69C95E45" w14:textId="77777777" w:rsidR="00662D67" w:rsidRDefault="00000000">
      <w:pPr>
        <w:pStyle w:val="Akapitzlist"/>
        <w:numPr>
          <w:ilvl w:val="0"/>
          <w:numId w:val="3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lastRenderedPageBreak/>
        <w:t>stosowanie się do zaleceń personelu Centrum;</w:t>
      </w:r>
    </w:p>
    <w:p w14:paraId="6D3278FF" w14:textId="77777777" w:rsidR="00662D67" w:rsidRDefault="00000000">
      <w:pPr>
        <w:tabs>
          <w:tab w:val="left" w:pos="682"/>
          <w:tab w:val="left" w:pos="705"/>
        </w:tabs>
        <w:spacing w:before="120" w:after="120"/>
        <w:ind w:left="142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 xml:space="preserve">5.  W razie rezygnacji z wizyty lub niemożności stawienia się w ustalonym terminie pacjent ma obowiązek    poinformowania Centrum telefonicznie lub odwołując wizytę przez systemy rezerwacji online w czasie 12 godzin przed planowaną wizytą w Poradni Chorób Wewnętrznych i 24 godzin w przypadku rezerwacji do pozostałych Poradni. W przypadku niedopełnienia obowiązku odwołania rezerwacji i niestawienia się na wizytę kolejna rezerwacja będzie możliwa po wpłaceniu na konto Centrum przedpłaty w wysokości 50% ceny planowanego świadczenia.    </w:t>
      </w:r>
    </w:p>
    <w:p w14:paraId="4458B91C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6</w:t>
      </w:r>
      <w:r>
        <w:rPr>
          <w:rFonts w:ascii="Open Sans" w:hAnsi="Open Sans" w:cs="Calibri"/>
          <w:b/>
          <w:bCs/>
          <w:sz w:val="18"/>
          <w:szCs w:val="18"/>
          <w:lang w:eastAsia="pl-PL"/>
        </w:rPr>
        <w:t xml:space="preserve">.   </w:t>
      </w:r>
      <w:r>
        <w:rPr>
          <w:rFonts w:ascii="Open Sans" w:hAnsi="Open Sans" w:cs="Calibri"/>
          <w:sz w:val="18"/>
          <w:szCs w:val="18"/>
          <w:lang w:eastAsia="pl-PL"/>
        </w:rPr>
        <w:t>Na terenie zakładu leczniczego zabronione jest</w:t>
      </w:r>
    </w:p>
    <w:p w14:paraId="1AC2455C" w14:textId="77777777" w:rsidR="00662D67" w:rsidRDefault="00000000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spożywanie alkoholu;</w:t>
      </w:r>
    </w:p>
    <w:p w14:paraId="29EB9A43" w14:textId="77777777" w:rsidR="00662D67" w:rsidRDefault="00000000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palenie tytoniu, w tym e-papierosów;</w:t>
      </w:r>
    </w:p>
    <w:p w14:paraId="4E89CCE3" w14:textId="77777777" w:rsidR="00662D67" w:rsidRDefault="00000000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wprowadzanie zwierząt;</w:t>
      </w:r>
    </w:p>
    <w:p w14:paraId="1786046C" w14:textId="77777777" w:rsidR="00662D67" w:rsidRDefault="00000000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  <w:lang w:eastAsia="pl-PL"/>
        </w:rPr>
        <w:t>akwizycja i prowadzenie działalności zarobkowej.</w:t>
      </w:r>
    </w:p>
    <w:p w14:paraId="0B64628D" w14:textId="77777777" w:rsidR="00662D67" w:rsidRDefault="00662D67">
      <w:pPr>
        <w:pStyle w:val="Akapitzlist"/>
        <w:spacing w:before="120" w:after="120"/>
        <w:contextualSpacing w:val="0"/>
        <w:jc w:val="both"/>
        <w:rPr>
          <w:sz w:val="18"/>
          <w:szCs w:val="18"/>
        </w:rPr>
      </w:pPr>
    </w:p>
    <w:p w14:paraId="2525815C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</w:rPr>
      </w:pPr>
    </w:p>
    <w:p w14:paraId="2AE05A80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11.</w:t>
      </w:r>
    </w:p>
    <w:p w14:paraId="7BFC9D30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Kierownictwo Centrum</w:t>
      </w:r>
    </w:p>
    <w:p w14:paraId="25273F96" w14:textId="77777777" w:rsidR="00662D67" w:rsidRDefault="0000000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Działalnością Centrum kieruje Agnieszka Kopeć, zwana dalej Kierownikiem.</w:t>
      </w:r>
    </w:p>
    <w:p w14:paraId="6DBF2EC9" w14:textId="77777777" w:rsidR="00662D67" w:rsidRDefault="0000000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Kierownik prowadzi sprawy Centrum i reprezentuje je na zewnątrz oraz realizuje inne obowiązki wynikające z powszechnie obowiązujących przepisów prawa.</w:t>
      </w:r>
    </w:p>
    <w:p w14:paraId="5A72D84B" w14:textId="77777777" w:rsidR="00662D67" w:rsidRDefault="0000000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Kierownik może powołać zastępców do kierowania poszczególnymi jednostkami lub komórkami organizacyjnymi lub kierowania sprawami określonego rodzaju. W tym celu Kierownik może w szczególności udzielać swoim zastępcom niezbędnych pełnomocnictw lub upoważnień.</w:t>
      </w:r>
    </w:p>
    <w:p w14:paraId="02E09815" w14:textId="77777777" w:rsidR="00662D67" w:rsidRDefault="0000000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sz w:val="18"/>
          <w:szCs w:val="18"/>
          <w:lang w:eastAsia="pl-PL"/>
        </w:rPr>
        <w:t>Kierownik może powierzyć wyznaczonej osobie obowiązek nadzoru w zakresie prawidłowości i jakości udzielanych świadczeń zdrowotnych, koordynacji pracy personelu medycznego zatrudnionego lub współpracującego z Gabinetem oraz nadzoru nad prawidłowością prowadzenia dokumentacji medycznej (kierownik medyczny).</w:t>
      </w:r>
    </w:p>
    <w:p w14:paraId="7D370124" w14:textId="77777777" w:rsidR="00662D67" w:rsidRDefault="00000000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sz w:val="18"/>
          <w:szCs w:val="18"/>
          <w:lang w:eastAsia="pl-PL"/>
        </w:rPr>
        <w:t>Podczas nieobecności Kierownika zastępuje go upoważniony przez niego pracownik lub inna wskazana osoba.</w:t>
      </w:r>
    </w:p>
    <w:p w14:paraId="4233C608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12.</w:t>
      </w:r>
    </w:p>
    <w:p w14:paraId="5740E65D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Warunki współpracy z innymi podmiotami wykonującymi działalność leczniczą</w:t>
      </w:r>
    </w:p>
    <w:p w14:paraId="6FD2663C" w14:textId="77777777" w:rsidR="00662D67" w:rsidRDefault="00000000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 xml:space="preserve">W celu zapewnienia prawidłowości oraz </w:t>
      </w:r>
      <w:r>
        <w:rPr>
          <w:rFonts w:ascii="Open Sans" w:hAnsi="Open Sans" w:cs="Calibri"/>
          <w:sz w:val="18"/>
          <w:szCs w:val="18"/>
        </w:rPr>
        <w:t>ciągłości przebiegu procesu udzielania świadczeń zdrowotnych, Centrum współdziała z innymi podmiotami wykonującymi działalność leczniczą, udzielającymi świadczeń zdrowotnych na rzecz tych pacjentów, a także z przedstawicielami innych zawodów medycznych.</w:t>
      </w:r>
    </w:p>
    <w:p w14:paraId="75A8ED93" w14:textId="77777777" w:rsidR="00662D67" w:rsidRDefault="00000000">
      <w:pPr>
        <w:pStyle w:val="Akapitzlist"/>
        <w:numPr>
          <w:ilvl w:val="0"/>
          <w:numId w:val="21"/>
        </w:numPr>
        <w:spacing w:before="120" w:after="120"/>
        <w:contextualSpacing w:val="0"/>
        <w:jc w:val="both"/>
      </w:pPr>
      <w:r>
        <w:rPr>
          <w:rFonts w:ascii="Open Sans" w:hAnsi="Open Sans" w:cs="Calibri"/>
          <w:sz w:val="18"/>
          <w:szCs w:val="18"/>
        </w:rPr>
        <w:t>Współpraca odbywa się na zasadach określonych w powszechnie obowiązujących przepisach prawa oraz z poszanowaniem praw pacjenta. Szczegółowe zasady współpracy mogą zostać określone w odrębnych umowach.</w:t>
      </w:r>
    </w:p>
    <w:p w14:paraId="6CAF2240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  <w:sz w:val="18"/>
          <w:szCs w:val="18"/>
        </w:rPr>
      </w:pPr>
    </w:p>
    <w:p w14:paraId="15C1E937" w14:textId="77777777" w:rsidR="00662D67" w:rsidRDefault="00000000">
      <w:pPr>
        <w:pStyle w:val="Standard"/>
        <w:tabs>
          <w:tab w:val="center" w:pos="4536"/>
          <w:tab w:val="right" w:pos="9072"/>
        </w:tabs>
        <w:spacing w:before="120" w:after="120"/>
      </w:pPr>
      <w:r>
        <w:rPr>
          <w:rFonts w:ascii="Open Sans" w:hAnsi="Open Sans" w:cs="Calibri"/>
          <w:b/>
          <w:bCs/>
        </w:rPr>
        <w:tab/>
      </w:r>
    </w:p>
    <w:p w14:paraId="4B1C8F1D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§ 13.</w:t>
      </w:r>
    </w:p>
    <w:p w14:paraId="21AB24DA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Postanowienia końcowe</w:t>
      </w:r>
    </w:p>
    <w:p w14:paraId="3DB18674" w14:textId="77777777" w:rsidR="00662D67" w:rsidRDefault="00000000">
      <w:pPr>
        <w:pStyle w:val="Akapitzlist"/>
        <w:numPr>
          <w:ilvl w:val="0"/>
          <w:numId w:val="16"/>
        </w:numPr>
        <w:spacing w:before="120" w:after="120"/>
        <w:contextualSpacing w:val="0"/>
      </w:pPr>
      <w:r>
        <w:rPr>
          <w:rFonts w:ascii="Open Sans" w:hAnsi="Open Sans" w:cs="Calibri"/>
          <w:sz w:val="18"/>
          <w:szCs w:val="18"/>
        </w:rPr>
        <w:lastRenderedPageBreak/>
        <w:t>Regulamin organizacyjny ustala Kierownik Centrum- Agnieszka Kopeć</w:t>
      </w:r>
    </w:p>
    <w:p w14:paraId="5E7FE003" w14:textId="77777777" w:rsidR="00662D67" w:rsidRDefault="00000000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W sprawach nieuregulowanych w regulaminie zastosowanie mają przepisy prawa powszechnie obowiązującego, w tym w szczególności ustawy z dnia 15 kwietnia 2011 r. o działalności leczniczej, ustawy z dnia 6 listopada 2008 roku o prawach pacjenta i Rzeczniku Praw Pacjenta, akty wykonawcze do tych ustaw.</w:t>
      </w:r>
    </w:p>
    <w:p w14:paraId="6AC1C50E" w14:textId="77777777" w:rsidR="00662D67" w:rsidRDefault="00000000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Postanowienia Regulaminu zostają podane do wiadomości wszystkich zatrudnionych w Centrum</w:t>
      </w:r>
    </w:p>
    <w:p w14:paraId="26B18E7E" w14:textId="77777777" w:rsidR="00662D67" w:rsidRDefault="00000000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>Regulamin wchodzi w życie z dniem 20.09.2021.</w:t>
      </w:r>
    </w:p>
    <w:p w14:paraId="04B43A8A" w14:textId="77777777" w:rsidR="00662D67" w:rsidRDefault="00000000">
      <w:pPr>
        <w:spacing w:before="120" w:after="120"/>
        <w:jc w:val="both"/>
      </w:pPr>
      <w:r>
        <w:rPr>
          <w:rFonts w:ascii="Open Sans" w:eastAsia="Times New Roman" w:hAnsi="Open Sans" w:cs="Calibri"/>
          <w:bCs/>
          <w:sz w:val="18"/>
          <w:szCs w:val="18"/>
          <w:lang w:eastAsia="pl-PL"/>
        </w:rPr>
        <w:t xml:space="preserve">        Aktualizacja regulaminu 20.02.2026r.</w:t>
      </w:r>
    </w:p>
    <w:p w14:paraId="11366D8B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</w:rPr>
      </w:pPr>
    </w:p>
    <w:p w14:paraId="701523D1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</w:rPr>
      </w:pPr>
    </w:p>
    <w:p w14:paraId="760BFD36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</w:rPr>
      </w:pPr>
    </w:p>
    <w:p w14:paraId="44FDFD39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sz w:val="18"/>
          <w:szCs w:val="18"/>
        </w:rPr>
        <w:t>Kierownik Centrum:</w:t>
      </w:r>
    </w:p>
    <w:p w14:paraId="5EE8503E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  <w:sz w:val="18"/>
          <w:szCs w:val="18"/>
        </w:rPr>
      </w:pPr>
    </w:p>
    <w:p w14:paraId="115B40E1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sz w:val="18"/>
          <w:szCs w:val="18"/>
          <w:u w:val="single"/>
        </w:rPr>
        <w:t>Załączniki:</w:t>
      </w:r>
    </w:p>
    <w:p w14:paraId="74D4AFDB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sz w:val="18"/>
          <w:szCs w:val="18"/>
        </w:rPr>
        <w:t>1 – Cennik świadczeń zdrowotnych udzielanych odpłatnie;</w:t>
      </w:r>
    </w:p>
    <w:p w14:paraId="1E6B66A3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sz w:val="18"/>
          <w:szCs w:val="18"/>
        </w:rPr>
        <w:t>2 – Cennik opłat za udostępnienie dokumentacji medycznej.</w:t>
      </w:r>
    </w:p>
    <w:p w14:paraId="194D3B48" w14:textId="77777777" w:rsidR="00662D67" w:rsidRDefault="00662D67">
      <w:pPr>
        <w:pStyle w:val="Standard"/>
        <w:spacing w:before="120" w:after="120"/>
        <w:jc w:val="both"/>
      </w:pPr>
    </w:p>
    <w:p w14:paraId="42E7F83F" w14:textId="77777777" w:rsidR="00662D67" w:rsidRDefault="00662D67">
      <w:pPr>
        <w:pStyle w:val="Standard"/>
        <w:spacing w:before="120" w:after="120"/>
        <w:jc w:val="both"/>
      </w:pPr>
    </w:p>
    <w:p w14:paraId="582B607A" w14:textId="77777777" w:rsidR="00662D67" w:rsidRDefault="00662D67">
      <w:pPr>
        <w:pStyle w:val="Standard"/>
        <w:spacing w:before="120" w:after="120"/>
        <w:jc w:val="both"/>
      </w:pPr>
    </w:p>
    <w:p w14:paraId="13210F20" w14:textId="77777777" w:rsidR="00662D67" w:rsidRDefault="00662D67">
      <w:pPr>
        <w:pStyle w:val="Standard"/>
        <w:spacing w:before="120" w:after="120"/>
        <w:jc w:val="both"/>
      </w:pPr>
    </w:p>
    <w:p w14:paraId="764DFA31" w14:textId="77777777" w:rsidR="00662D67" w:rsidRDefault="00662D67">
      <w:pPr>
        <w:pStyle w:val="Standard"/>
        <w:spacing w:before="120" w:after="120"/>
        <w:jc w:val="both"/>
      </w:pPr>
    </w:p>
    <w:p w14:paraId="28841327" w14:textId="77777777" w:rsidR="00662D67" w:rsidRDefault="00662D67">
      <w:pPr>
        <w:pStyle w:val="Standard"/>
        <w:spacing w:before="120" w:after="120"/>
        <w:jc w:val="both"/>
      </w:pPr>
    </w:p>
    <w:p w14:paraId="6DDF81A0" w14:textId="77777777" w:rsidR="00662D67" w:rsidRDefault="00662D67">
      <w:pPr>
        <w:pStyle w:val="Standard"/>
        <w:spacing w:before="120" w:after="120"/>
        <w:jc w:val="both"/>
      </w:pPr>
    </w:p>
    <w:p w14:paraId="327CDBC0" w14:textId="77777777" w:rsidR="00662D67" w:rsidRDefault="00000000">
      <w:pPr>
        <w:pStyle w:val="Standard"/>
        <w:spacing w:before="120" w:after="120"/>
        <w:jc w:val="both"/>
      </w:pPr>
      <w:r>
        <w:rPr>
          <w:rFonts w:ascii="Open Sans" w:hAnsi="Open Sans" w:cs="Calibri"/>
          <w:i/>
          <w:iCs/>
        </w:rPr>
        <w:t>Zał. nr 1 do regulaminu organizacyjnego</w:t>
      </w:r>
    </w:p>
    <w:p w14:paraId="7B071BB4" w14:textId="77777777" w:rsidR="00662D67" w:rsidRDefault="00662D67">
      <w:pPr>
        <w:pStyle w:val="Standard"/>
        <w:spacing w:before="120" w:after="120"/>
        <w:jc w:val="right"/>
        <w:rPr>
          <w:rFonts w:ascii="Open Sans" w:hAnsi="Open Sans" w:cs="Calibri"/>
          <w:b/>
          <w:bCs/>
        </w:rPr>
      </w:pPr>
    </w:p>
    <w:p w14:paraId="5ABEC91E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CENNIK ŚWIADCZEŃ ZDROWOTNYCH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39"/>
        <w:gridCol w:w="3024"/>
      </w:tblGrid>
      <w:tr w:rsidR="00662D67" w14:paraId="4CC9BEC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6022" w14:textId="77777777" w:rsidR="00662D67" w:rsidRDefault="00662D67">
            <w:pPr>
              <w:pStyle w:val="Standard"/>
              <w:spacing w:before="120" w:after="120"/>
              <w:jc w:val="center"/>
            </w:pPr>
          </w:p>
        </w:tc>
        <w:tc>
          <w:tcPr>
            <w:tcW w:w="5339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E932" w14:textId="77777777" w:rsidR="00662D67" w:rsidRDefault="00662D67">
            <w:pPr>
              <w:pStyle w:val="Standard"/>
              <w:spacing w:before="120" w:after="120"/>
              <w:jc w:val="center"/>
            </w:pPr>
          </w:p>
        </w:tc>
        <w:tc>
          <w:tcPr>
            <w:tcW w:w="3024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EBC6" w14:textId="77777777" w:rsidR="00662D67" w:rsidRDefault="00662D67">
            <w:pPr>
              <w:pStyle w:val="Standard"/>
              <w:spacing w:before="120" w:after="120"/>
            </w:pPr>
          </w:p>
        </w:tc>
      </w:tr>
      <w:tr w:rsidR="00662D67" w14:paraId="5ECE8E3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CCCE" w14:textId="77777777" w:rsidR="00662D67" w:rsidRDefault="00000000">
            <w:pPr>
              <w:pStyle w:val="Standard"/>
              <w:spacing w:before="120" w:after="120"/>
              <w:jc w:val="both"/>
            </w:pPr>
            <w:r>
              <w:rPr>
                <w:rFonts w:ascii="Open Sans" w:hAnsi="Open Sans" w:cs="Calibri"/>
                <w:b/>
                <w:bCs/>
                <w:caps/>
              </w:rPr>
              <w:t>L.p.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E5FC" w14:textId="77777777" w:rsidR="00662D67" w:rsidRDefault="00000000">
            <w:pPr>
              <w:pStyle w:val="Standard"/>
              <w:tabs>
                <w:tab w:val="left" w:pos="1687"/>
              </w:tabs>
              <w:spacing w:before="120" w:after="120"/>
            </w:pPr>
            <w:r>
              <w:rPr>
                <w:rFonts w:ascii="Open Sans" w:hAnsi="Open Sans" w:cs="Open Sans"/>
                <w:sz w:val="18"/>
                <w:szCs w:val="18"/>
              </w:rPr>
              <w:tab/>
            </w:r>
            <w:r>
              <w:rPr>
                <w:rFonts w:ascii="Open Sans" w:hAnsi="Open Sans" w:cs="Calibri"/>
                <w:b/>
                <w:bCs/>
                <w:caps/>
                <w:sz w:val="18"/>
                <w:szCs w:val="18"/>
              </w:rPr>
              <w:t>świadczenie zdrowotne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C4CB" w14:textId="77777777" w:rsidR="00662D67" w:rsidRDefault="00000000">
            <w:pPr>
              <w:pStyle w:val="Standard"/>
              <w:spacing w:before="120" w:after="120"/>
              <w:jc w:val="both"/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</w:t>
            </w:r>
            <w:r>
              <w:rPr>
                <w:rFonts w:ascii="Open Sans" w:hAnsi="Open Sans" w:cs="Calibri"/>
                <w:b/>
                <w:bCs/>
                <w:caps/>
                <w:sz w:val="18"/>
                <w:szCs w:val="18"/>
              </w:rPr>
              <w:t>opłata</w:t>
            </w:r>
          </w:p>
        </w:tc>
      </w:tr>
      <w:tr w:rsidR="00662D67" w14:paraId="465846A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BD9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19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Konsultacja alergologiczna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F34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300 zł </w:t>
            </w:r>
          </w:p>
        </w:tc>
      </w:tr>
      <w:tr w:rsidR="00662D67" w14:paraId="5F6CA62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8C2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325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alergologiczna + punktowe testy skórne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329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450 zł</w:t>
            </w:r>
          </w:p>
        </w:tc>
      </w:tr>
      <w:tr w:rsidR="00662D67" w14:paraId="5111898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69A7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3.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280D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Teleporada alergologiczna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4248" w14:textId="77777777" w:rsidR="00662D67" w:rsidRDefault="00000000">
            <w:pPr>
              <w:pStyle w:val="Standard"/>
              <w:tabs>
                <w:tab w:val="left" w:pos="896"/>
              </w:tabs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ab/>
              <w:t xml:space="preserve"> 250zł</w:t>
            </w:r>
          </w:p>
        </w:tc>
      </w:tr>
      <w:tr w:rsidR="00662D67" w14:paraId="7C22392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49E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4.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F0F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Wizyta recepturowa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0239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80 zł </w:t>
            </w:r>
          </w:p>
        </w:tc>
      </w:tr>
      <w:tr w:rsidR="00662D67" w14:paraId="094AA4E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249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lastRenderedPageBreak/>
              <w:t>5.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BC0E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Testy płatkowe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4C3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450 zł</w:t>
            </w:r>
          </w:p>
        </w:tc>
      </w:tr>
      <w:tr w:rsidR="00662D67" w14:paraId="1FD984D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249B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6.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121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Odczulanie podskórne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F18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80 zł</w:t>
            </w:r>
          </w:p>
        </w:tc>
      </w:tr>
      <w:tr w:rsidR="00662D67" w14:paraId="7837066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98B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7.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093C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Odczulanie podjęzykowe            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31C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100 zł</w:t>
            </w:r>
          </w:p>
        </w:tc>
      </w:tr>
      <w:tr w:rsidR="00662D67" w14:paraId="46FC294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050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8.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7C0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Punktowe testy skórne – panel alergenów POKARMOWYCH                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62C6" w14:textId="77777777" w:rsidR="00662D67" w:rsidRDefault="00000000">
            <w:pPr>
              <w:pStyle w:val="Standard"/>
              <w:tabs>
                <w:tab w:val="left" w:pos="911"/>
              </w:tabs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ab/>
              <w:t xml:space="preserve"> 250 zł</w:t>
            </w:r>
          </w:p>
        </w:tc>
      </w:tr>
      <w:tr w:rsidR="00662D67" w14:paraId="21DD597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A9D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9.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77A9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Punktowe testy skórne- panel WZIEWNY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8C33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200 zł</w:t>
            </w:r>
          </w:p>
        </w:tc>
      </w:tr>
      <w:tr w:rsidR="00662D67" w14:paraId="509CCF0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1B5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10.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EFFD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Punktowe testy skórne- wybrane alergeny                                                            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AD01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20 zł za punkt</w:t>
            </w:r>
          </w:p>
        </w:tc>
      </w:tr>
      <w:tr w:rsidR="00662D67" w14:paraId="26D323F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8327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11.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3992" w14:textId="77777777" w:rsidR="00662D67" w:rsidRDefault="00000000">
            <w:pPr>
              <w:pStyle w:val="Standard"/>
              <w:tabs>
                <w:tab w:val="left" w:pos="1687"/>
              </w:tabs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dietetyczna (60 minut plus wizyta kontrolna w ciągu tygodnia) </w:t>
            </w:r>
            <w:r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E0B" w14:textId="77777777" w:rsidR="00662D67" w:rsidRDefault="00000000">
            <w:pPr>
              <w:pStyle w:val="Standard"/>
              <w:spacing w:before="120" w:after="120"/>
              <w:ind w:firstLine="708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350 zł </w:t>
            </w:r>
          </w:p>
        </w:tc>
      </w:tr>
      <w:tr w:rsidR="00662D67" w14:paraId="55AD299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AED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12.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6951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Konsultacja dietetyczna- wizyta kolejna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2D21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250 zł</w:t>
            </w:r>
          </w:p>
        </w:tc>
      </w:tr>
      <w:tr w:rsidR="00662D67" w14:paraId="4C889356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A27C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13.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543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angiologiczna z USG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doppler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naczyń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0AC2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300 zł</w:t>
            </w:r>
          </w:p>
        </w:tc>
      </w:tr>
      <w:tr w:rsidR="00662D67" w14:paraId="53CB738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226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14.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CE2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Konsultacja dermatologiczna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48C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250 zł</w:t>
            </w:r>
          </w:p>
        </w:tc>
      </w:tr>
      <w:tr w:rsidR="00662D67" w14:paraId="7812623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B4E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15.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C83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endokrynologiczna- dorośli                                                           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EEAD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250 zł</w:t>
            </w:r>
          </w:p>
        </w:tc>
      </w:tr>
      <w:tr w:rsidR="00662D67" w14:paraId="52B1700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1CD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16.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5E5C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endokrynologiczna+ USG tarczycy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C092" w14:textId="77777777" w:rsidR="00662D67" w:rsidRDefault="00000000">
            <w:pPr>
              <w:pStyle w:val="Standard"/>
              <w:numPr>
                <w:ilvl w:val="0"/>
                <w:numId w:val="35"/>
              </w:num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zł</w:t>
            </w:r>
          </w:p>
        </w:tc>
      </w:tr>
      <w:tr w:rsidR="00662D67" w14:paraId="2F302AE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0E29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17.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2A63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Teleporada endokrynologiczna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FC99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250 zł</w:t>
            </w:r>
          </w:p>
        </w:tc>
      </w:tr>
      <w:tr w:rsidR="00662D67" w14:paraId="59F1BB3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0DD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18.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01D2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internistyczna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BF03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 200 zł</w:t>
            </w:r>
          </w:p>
        </w:tc>
      </w:tr>
      <w:tr w:rsidR="00662D67" w14:paraId="434277E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1B9B" w14:textId="77777777" w:rsidR="00662D67" w:rsidRDefault="00000000">
            <w:pPr>
              <w:tabs>
                <w:tab w:val="left" w:pos="416"/>
              </w:tabs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19.</w:t>
            </w:r>
          </w:p>
          <w:p w14:paraId="5794DA3B" w14:textId="77777777" w:rsidR="00662D67" w:rsidRDefault="00662D67">
            <w:pPr>
              <w:tabs>
                <w:tab w:val="left" w:pos="416"/>
              </w:tabs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484E9DF" w14:textId="77777777" w:rsidR="00662D67" w:rsidRDefault="00000000">
            <w:pPr>
              <w:tabs>
                <w:tab w:val="left" w:pos="416"/>
              </w:tabs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BAB8" w14:textId="77777777" w:rsidR="00662D67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Teleporada internistyczna</w:t>
            </w:r>
          </w:p>
          <w:p w14:paraId="55641336" w14:textId="77777777" w:rsidR="00662D67" w:rsidRDefault="00662D6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B41EDE2" w14:textId="77777777" w:rsidR="00662D67" w:rsidRDefault="0000000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Konsultacja internistyczna w zakresie choroby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otyłościowej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               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ED31" w14:textId="77777777" w:rsidR="00662D67" w:rsidRDefault="00000000">
            <w:pPr>
              <w:pStyle w:val="Standard"/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  200zł </w:t>
            </w:r>
          </w:p>
          <w:p w14:paraId="344B2E78" w14:textId="77777777" w:rsidR="00662D67" w:rsidRDefault="00000000">
            <w:pPr>
              <w:pStyle w:val="Standard"/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  250 zł</w:t>
            </w:r>
          </w:p>
        </w:tc>
      </w:tr>
    </w:tbl>
    <w:p w14:paraId="67FDB4BF" w14:textId="77777777" w:rsidR="00662D67" w:rsidRDefault="00000000">
      <w:pPr>
        <w:pStyle w:val="Standard"/>
        <w:spacing w:before="120" w:after="1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/>
      </w:r>
    </w:p>
    <w:p w14:paraId="0B0C0491" w14:textId="77777777" w:rsidR="00662D67" w:rsidRDefault="00000000">
      <w:pPr>
        <w:pStyle w:val="Standard"/>
        <w:spacing w:before="120" w:after="120"/>
        <w:jc w:val="right"/>
      </w:pPr>
      <w:r>
        <w:rPr>
          <w:rFonts w:ascii="Open Sans" w:hAnsi="Open Sans" w:cs="Calibri"/>
          <w:i/>
          <w:iCs/>
        </w:rPr>
        <w:t>Zał. nr 1 do regulaminu organizacyjnego</w:t>
      </w:r>
    </w:p>
    <w:p w14:paraId="6717E7D8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CENNIK ŚWIADCZEŃ ZDROWOTNYCH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39"/>
        <w:gridCol w:w="3024"/>
      </w:tblGrid>
      <w:tr w:rsidR="00662D67" w14:paraId="5EF1919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3A03" w14:textId="77777777" w:rsidR="00662D67" w:rsidRDefault="00662D67">
            <w:pPr>
              <w:pStyle w:val="Standard"/>
              <w:spacing w:before="120" w:after="120"/>
              <w:jc w:val="center"/>
            </w:pPr>
          </w:p>
        </w:tc>
        <w:tc>
          <w:tcPr>
            <w:tcW w:w="5339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5830" w14:textId="77777777" w:rsidR="00662D67" w:rsidRDefault="00662D67">
            <w:pPr>
              <w:pStyle w:val="Standard"/>
              <w:spacing w:before="120" w:after="120"/>
              <w:jc w:val="center"/>
            </w:pPr>
          </w:p>
        </w:tc>
        <w:tc>
          <w:tcPr>
            <w:tcW w:w="3024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EDC6" w14:textId="77777777" w:rsidR="00662D67" w:rsidRDefault="00662D67">
            <w:pPr>
              <w:pStyle w:val="Standard"/>
              <w:spacing w:before="120" w:after="120"/>
            </w:pPr>
          </w:p>
        </w:tc>
      </w:tr>
      <w:tr w:rsidR="00662D67" w14:paraId="7F06FF7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D3FF" w14:textId="77777777" w:rsidR="00662D67" w:rsidRDefault="00000000">
            <w:pPr>
              <w:pStyle w:val="Standard"/>
              <w:spacing w:before="120" w:after="120"/>
              <w:jc w:val="both"/>
            </w:pPr>
            <w:r>
              <w:rPr>
                <w:rFonts w:ascii="Open Sans" w:hAnsi="Open Sans" w:cs="Calibri"/>
                <w:b/>
                <w:bCs/>
                <w:caps/>
              </w:rPr>
              <w:t>L.p.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D9CB" w14:textId="77777777" w:rsidR="00662D67" w:rsidRDefault="00000000">
            <w:pPr>
              <w:pStyle w:val="Standard"/>
              <w:tabs>
                <w:tab w:val="left" w:pos="1687"/>
              </w:tabs>
              <w:spacing w:before="120" w:after="120"/>
            </w:pPr>
            <w:r>
              <w:rPr>
                <w:rFonts w:ascii="Open Sans" w:hAnsi="Open Sans" w:cs="Open Sans"/>
                <w:sz w:val="18"/>
                <w:szCs w:val="18"/>
              </w:rPr>
              <w:tab/>
            </w:r>
            <w:r>
              <w:rPr>
                <w:rFonts w:ascii="Open Sans" w:hAnsi="Open Sans" w:cs="Calibri"/>
                <w:b/>
                <w:bCs/>
                <w:caps/>
                <w:sz w:val="18"/>
                <w:szCs w:val="18"/>
              </w:rPr>
              <w:t>świadczenie zdrowotne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19D6" w14:textId="77777777" w:rsidR="00662D67" w:rsidRDefault="00000000">
            <w:pPr>
              <w:pStyle w:val="Standard"/>
              <w:spacing w:before="120" w:after="120"/>
              <w:jc w:val="both"/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</w:t>
            </w:r>
            <w:r>
              <w:rPr>
                <w:rFonts w:ascii="Open Sans" w:hAnsi="Open Sans" w:cs="Calibri"/>
                <w:b/>
                <w:bCs/>
                <w:caps/>
                <w:sz w:val="18"/>
                <w:szCs w:val="18"/>
              </w:rPr>
              <w:t>opłata</w:t>
            </w:r>
          </w:p>
        </w:tc>
      </w:tr>
      <w:tr w:rsidR="00662D67" w14:paraId="064186B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07BE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20.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CE9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CRP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D358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40 zł </w:t>
            </w:r>
          </w:p>
        </w:tc>
      </w:tr>
      <w:tr w:rsidR="00662D67" w14:paraId="0660235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4F8E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21.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BBD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Test COVID+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grypa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A/B+ RSV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55AF" w14:textId="77777777" w:rsidR="00662D67" w:rsidRDefault="00000000">
            <w:pPr>
              <w:pStyle w:val="Standard"/>
              <w:spacing w:before="120" w:after="120"/>
              <w:jc w:val="both"/>
            </w:pP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 </w:t>
            </w:r>
            <w:r>
              <w:rPr>
                <w:rFonts w:ascii="Open Sans" w:hAnsi="Open Sans" w:cs="Open Sans"/>
                <w:sz w:val="18"/>
                <w:szCs w:val="18"/>
              </w:rPr>
              <w:t>40 zł</w:t>
            </w:r>
          </w:p>
        </w:tc>
      </w:tr>
      <w:tr w:rsidR="00662D67" w14:paraId="5ADC746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C74C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22.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8587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EKG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5A7E" w14:textId="77777777" w:rsidR="00662D67" w:rsidRDefault="00000000">
            <w:pPr>
              <w:pStyle w:val="Standard"/>
              <w:tabs>
                <w:tab w:val="left" w:pos="896"/>
              </w:tabs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ab/>
              <w:t xml:space="preserve">  50 zł</w:t>
            </w:r>
          </w:p>
        </w:tc>
      </w:tr>
      <w:tr w:rsidR="00662D67" w14:paraId="13B0858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85F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23.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2A31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Strep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Test 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8A1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40 zł </w:t>
            </w:r>
          </w:p>
        </w:tc>
      </w:tr>
      <w:tr w:rsidR="00662D67" w14:paraId="5D66930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63B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24.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0486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USG jamy brzusznej- dorosły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669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200 zł</w:t>
            </w:r>
          </w:p>
        </w:tc>
      </w:tr>
      <w:tr w:rsidR="00662D67" w14:paraId="42F3F31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6E6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lastRenderedPageBreak/>
              <w:t>25.</w:t>
            </w:r>
          </w:p>
        </w:tc>
        <w:tc>
          <w:tcPr>
            <w:tcW w:w="53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FB26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Konsultacja lekarska (leczenie nadwagi i otyłości)</w:t>
            </w:r>
          </w:p>
        </w:tc>
        <w:tc>
          <w:tcPr>
            <w:tcW w:w="3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AE3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250 zł</w:t>
            </w:r>
          </w:p>
        </w:tc>
      </w:tr>
      <w:tr w:rsidR="00662D67" w14:paraId="0D7C894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3F94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26.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C72A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Usg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tarczycy - dorosły          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6B26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200 zł</w:t>
            </w:r>
          </w:p>
        </w:tc>
      </w:tr>
      <w:tr w:rsidR="00662D67" w14:paraId="5B2A026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B8B7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27.</w:t>
            </w:r>
          </w:p>
          <w:p w14:paraId="3FDA46B5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28.</w:t>
            </w:r>
          </w:p>
          <w:p w14:paraId="33D75BE8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aps/>
                <w:sz w:val="18"/>
                <w:szCs w:val="18"/>
              </w:rPr>
              <w:t>29.</w:t>
            </w:r>
          </w:p>
        </w:tc>
        <w:tc>
          <w:tcPr>
            <w:tcW w:w="53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9810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Pakiet: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Usg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tarczycy i jamy brzusznej- dorosły</w:t>
            </w:r>
          </w:p>
          <w:p w14:paraId="20EF9447" w14:textId="77777777" w:rsidR="00662D67" w:rsidRDefault="00000000">
            <w:pPr>
              <w:pStyle w:val="Standard"/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Spirometria</w:t>
            </w:r>
          </w:p>
          <w:p w14:paraId="221821F1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Spirometria z próbą rozkurczową</w:t>
            </w:r>
          </w:p>
        </w:tc>
        <w:tc>
          <w:tcPr>
            <w:tcW w:w="302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CC3B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300 zł</w:t>
            </w:r>
          </w:p>
          <w:p w14:paraId="6ED9B751" w14:textId="77777777" w:rsidR="00662D67" w:rsidRDefault="00000000">
            <w:pPr>
              <w:pStyle w:val="Standard"/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50 zł</w:t>
            </w:r>
          </w:p>
          <w:p w14:paraId="315A8DFF" w14:textId="77777777" w:rsidR="00662D67" w:rsidRDefault="00000000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80 zł</w:t>
            </w:r>
          </w:p>
          <w:p w14:paraId="7A0634F1" w14:textId="77777777" w:rsidR="00662D67" w:rsidRDefault="00662D67">
            <w:pPr>
              <w:pStyle w:val="Standard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5ABF99E" w14:textId="77777777" w:rsidR="00662D67" w:rsidRDefault="00662D67">
      <w:pPr>
        <w:pStyle w:val="Standard"/>
        <w:spacing w:before="120" w:after="120"/>
        <w:rPr>
          <w:rFonts w:ascii="Open Sans" w:hAnsi="Open Sans" w:cs="Open Sans"/>
          <w:sz w:val="18"/>
          <w:szCs w:val="18"/>
        </w:rPr>
      </w:pPr>
    </w:p>
    <w:p w14:paraId="6194236C" w14:textId="77777777" w:rsidR="00662D67" w:rsidRDefault="00000000">
      <w:pPr>
        <w:pStyle w:val="Standard"/>
        <w:pageBreakBefore/>
        <w:spacing w:after="120"/>
        <w:jc w:val="right"/>
      </w:pPr>
      <w:r>
        <w:rPr>
          <w:rFonts w:ascii="Open Sans" w:hAnsi="Open Sans" w:cs="Calibri"/>
          <w:i/>
          <w:iCs/>
        </w:rPr>
        <w:lastRenderedPageBreak/>
        <w:t>Zał. nr 2 do regulaminu organizacyjnego</w:t>
      </w:r>
    </w:p>
    <w:p w14:paraId="0B1FDE59" w14:textId="77777777" w:rsidR="00662D67" w:rsidRDefault="00662D67">
      <w:pPr>
        <w:pStyle w:val="Standard"/>
        <w:spacing w:before="120" w:after="120"/>
        <w:jc w:val="right"/>
        <w:rPr>
          <w:rFonts w:ascii="Open Sans" w:hAnsi="Open Sans" w:cs="Calibri"/>
          <w:b/>
          <w:bCs/>
          <w:i/>
          <w:iCs/>
        </w:rPr>
      </w:pPr>
    </w:p>
    <w:p w14:paraId="60A1B653" w14:textId="77777777" w:rsidR="00662D67" w:rsidRDefault="00000000">
      <w:pPr>
        <w:pStyle w:val="Standard"/>
        <w:spacing w:before="120" w:after="120"/>
        <w:jc w:val="center"/>
      </w:pPr>
      <w:r>
        <w:rPr>
          <w:rFonts w:ascii="Open Sans" w:hAnsi="Open Sans" w:cs="Calibri"/>
          <w:b/>
          <w:bCs/>
        </w:rPr>
        <w:t>OPŁATY ZA UDOSTĘPNIENIE DOKUMENTACJI MEDYCZNEJ</w:t>
      </w:r>
    </w:p>
    <w:p w14:paraId="36DC7E9F" w14:textId="77777777" w:rsidR="00662D67" w:rsidRDefault="00662D67">
      <w:pPr>
        <w:pStyle w:val="Standard"/>
        <w:spacing w:before="120" w:after="120"/>
        <w:rPr>
          <w:rFonts w:ascii="Open Sans" w:hAnsi="Open Sans" w:cs="Calibri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5454"/>
        <w:gridCol w:w="3002"/>
      </w:tblGrid>
      <w:tr w:rsidR="00662D67" w14:paraId="389A7881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65E4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  <w:b/>
                <w:bCs/>
                <w:caps/>
              </w:rPr>
              <w:t>l.p.</w:t>
            </w:r>
          </w:p>
        </w:tc>
        <w:tc>
          <w:tcPr>
            <w:tcW w:w="5454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A449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  <w:b/>
                <w:bCs/>
                <w:caps/>
              </w:rPr>
              <w:t>forma udostępnienia</w:t>
            </w:r>
          </w:p>
        </w:tc>
        <w:tc>
          <w:tcPr>
            <w:tcW w:w="3002" w:type="dxa"/>
            <w:tcBorders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50CD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  <w:b/>
                <w:bCs/>
                <w:caps/>
              </w:rPr>
              <w:t>wysokość opłaty (brutto)</w:t>
            </w:r>
          </w:p>
        </w:tc>
      </w:tr>
      <w:tr w:rsidR="00662D67" w14:paraId="0D4B921D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B0E7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  <w:b/>
                <w:bCs/>
                <w:caps/>
              </w:rPr>
              <w:t>1.</w:t>
            </w:r>
          </w:p>
        </w:tc>
        <w:tc>
          <w:tcPr>
            <w:tcW w:w="545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3EB2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</w:rPr>
              <w:t>Pierwsze udostępnienie w żądanym zakresie kopia/wydruk/wyciąg/odpis/informatyczny nośnik danych</w:t>
            </w:r>
          </w:p>
        </w:tc>
        <w:tc>
          <w:tcPr>
            <w:tcW w:w="30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1606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</w:rPr>
              <w:t>BEZ OPŁAT</w:t>
            </w:r>
          </w:p>
        </w:tc>
      </w:tr>
      <w:tr w:rsidR="00662D67" w14:paraId="0391758D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2346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  <w:b/>
                <w:bCs/>
                <w:caps/>
              </w:rPr>
              <w:t>3.</w:t>
            </w:r>
          </w:p>
        </w:tc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0BE0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</w:rPr>
              <w:t>Kopia lub wydruk</w:t>
            </w:r>
          </w:p>
        </w:tc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42E1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</w:rPr>
              <w:t>0,61 PLN za stronę</w:t>
            </w:r>
          </w:p>
        </w:tc>
      </w:tr>
      <w:tr w:rsidR="00662D67" w14:paraId="191B57FD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right w:val="single" w:sz="4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6475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  <w:b/>
                <w:bCs/>
                <w:caps/>
              </w:rPr>
              <w:t>4.</w:t>
            </w:r>
          </w:p>
        </w:tc>
        <w:tc>
          <w:tcPr>
            <w:tcW w:w="5454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CC38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</w:rPr>
              <w:t>Wyciąg lub odpis</w:t>
            </w:r>
          </w:p>
        </w:tc>
        <w:tc>
          <w:tcPr>
            <w:tcW w:w="300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79F4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</w:rPr>
              <w:t>17,54 PLN za stronę</w:t>
            </w:r>
          </w:p>
        </w:tc>
      </w:tr>
      <w:tr w:rsidR="00662D67" w14:paraId="41239E37" w14:textId="77777777">
        <w:tblPrEx>
          <w:tblCellMar>
            <w:top w:w="0" w:type="dxa"/>
            <w:bottom w:w="0" w:type="dxa"/>
          </w:tblCellMar>
        </w:tblPrEx>
        <w:tc>
          <w:tcPr>
            <w:tcW w:w="616" w:type="dxa"/>
            <w:tcBorders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04A" w14:textId="77777777" w:rsidR="00662D67" w:rsidRDefault="00662D67">
            <w:pPr>
              <w:pStyle w:val="Akapitzlist"/>
              <w:numPr>
                <w:ilvl w:val="0"/>
                <w:numId w:val="36"/>
              </w:numPr>
              <w:rPr>
                <w:rFonts w:ascii="Open Sans" w:hAnsi="Open Sans" w:cs="Calibri"/>
                <w:b/>
                <w:bCs/>
                <w:caps/>
              </w:rPr>
            </w:pPr>
          </w:p>
        </w:tc>
        <w:tc>
          <w:tcPr>
            <w:tcW w:w="5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F662" w14:textId="77777777" w:rsidR="00662D67" w:rsidRDefault="00000000">
            <w:pPr>
              <w:pStyle w:val="Standard"/>
            </w:pPr>
            <w:r>
              <w:rPr>
                <w:rFonts w:ascii="Open Sans" w:hAnsi="Open Sans" w:cs="Calibri"/>
              </w:rPr>
              <w:t>Informatyczny nośnik danych (skan) np. CD, DVD</w:t>
            </w:r>
          </w:p>
        </w:tc>
        <w:tc>
          <w:tcPr>
            <w:tcW w:w="3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DCB9" w14:textId="77777777" w:rsidR="00662D67" w:rsidRDefault="00000000">
            <w:pPr>
              <w:pStyle w:val="Standard"/>
              <w:jc w:val="center"/>
            </w:pPr>
            <w:r>
              <w:rPr>
                <w:rFonts w:ascii="Open Sans" w:hAnsi="Open Sans" w:cs="Calibri"/>
              </w:rPr>
              <w:t>3,51 PLN</w:t>
            </w:r>
          </w:p>
        </w:tc>
      </w:tr>
    </w:tbl>
    <w:p w14:paraId="0E798B3C" w14:textId="77777777" w:rsidR="00662D67" w:rsidRDefault="00662D67">
      <w:pPr>
        <w:pStyle w:val="Standard"/>
        <w:spacing w:before="120" w:after="120"/>
        <w:rPr>
          <w:rFonts w:ascii="Open Sans" w:hAnsi="Open Sans" w:cs="Calibri"/>
        </w:rPr>
      </w:pPr>
    </w:p>
    <w:p w14:paraId="67DF3BCF" w14:textId="77777777" w:rsidR="00662D67" w:rsidRDefault="00662D67">
      <w:pPr>
        <w:pStyle w:val="Standard"/>
        <w:spacing w:before="120" w:after="120"/>
        <w:jc w:val="both"/>
        <w:rPr>
          <w:rFonts w:ascii="Open Sans" w:hAnsi="Open Sans" w:cs="Calibri"/>
        </w:rPr>
      </w:pPr>
    </w:p>
    <w:sectPr w:rsidR="00662D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6B0A" w14:textId="77777777" w:rsidR="001D343A" w:rsidRDefault="001D343A">
      <w:r>
        <w:separator/>
      </w:r>
    </w:p>
  </w:endnote>
  <w:endnote w:type="continuationSeparator" w:id="0">
    <w:p w14:paraId="116A55EC" w14:textId="77777777" w:rsidR="001D343A" w:rsidRDefault="001D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3C96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B6C520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0822" w14:textId="77777777" w:rsidR="001D343A" w:rsidRDefault="001D343A">
      <w:r>
        <w:rPr>
          <w:color w:val="000000"/>
        </w:rPr>
        <w:separator/>
      </w:r>
    </w:p>
  </w:footnote>
  <w:footnote w:type="continuationSeparator" w:id="0">
    <w:p w14:paraId="55A3AE69" w14:textId="77777777" w:rsidR="001D343A" w:rsidRDefault="001D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E8FC" w14:textId="77777777" w:rsidR="00000000" w:rsidRDefault="00000000">
    <w:pPr>
      <w:jc w:val="center"/>
    </w:pPr>
    <w:r>
      <w:rPr>
        <w:noProof/>
      </w:rPr>
      <w:drawing>
        <wp:inline distT="0" distB="0" distL="0" distR="0" wp14:anchorId="71CEAF58" wp14:editId="2129B709">
          <wp:extent cx="528011" cy="414863"/>
          <wp:effectExtent l="0" t="0" r="5389" b="4237"/>
          <wp:docPr id="835308853" name="Obraz 1" descr="Obraz zawierający szkic, mniszek lekarski, czarne i białe, sztu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011" cy="414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>REGULAMIN ORGANIZACYJNY PODMIOTU LECZNICZEGO</w:t>
    </w:r>
  </w:p>
  <w:p w14:paraId="59A70A66" w14:textId="77777777" w:rsidR="00000000" w:rsidRDefault="00000000">
    <w:pPr>
      <w:jc w:val="center"/>
    </w:pPr>
    <w:r>
      <w:t>SUN-MED SPÓŁKI Z OGRANICZONĄ ODPOWIEDZIALNOŚCIĄ</w:t>
    </w:r>
  </w:p>
  <w:p w14:paraId="7846D8D2" w14:textId="77777777" w:rsidR="00000000" w:rsidRDefault="0000000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A51"/>
    <w:multiLevelType w:val="multilevel"/>
    <w:tmpl w:val="8D00C742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3E176E4"/>
    <w:multiLevelType w:val="multilevel"/>
    <w:tmpl w:val="C402F674"/>
    <w:styleLink w:val="WWNum23"/>
    <w:lvl w:ilvl="0">
      <w:start w:val="5"/>
      <w:numFmt w:val="decimal"/>
      <w:lvlText w:val="%1."/>
      <w:lvlJc w:val="left"/>
      <w:pPr>
        <w:ind w:left="360" w:hanging="360"/>
      </w:pPr>
      <w:rPr>
        <w:rFonts w:ascii="Open Sans" w:hAnsi="Open Sans"/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07B7289F"/>
    <w:multiLevelType w:val="multilevel"/>
    <w:tmpl w:val="23107226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BBF5423"/>
    <w:multiLevelType w:val="multilevel"/>
    <w:tmpl w:val="296457C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" w15:restartNumberingAfterBreak="0">
    <w:nsid w:val="0CD21371"/>
    <w:multiLevelType w:val="multilevel"/>
    <w:tmpl w:val="1D38677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0F4E46FD"/>
    <w:multiLevelType w:val="multilevel"/>
    <w:tmpl w:val="3962C83E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/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6" w15:restartNumberingAfterBreak="0">
    <w:nsid w:val="104D0FFA"/>
    <w:multiLevelType w:val="multilevel"/>
    <w:tmpl w:val="5276CA88"/>
    <w:styleLink w:val="WWNum18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/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138D3C6D"/>
    <w:multiLevelType w:val="multilevel"/>
    <w:tmpl w:val="BE6A581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Calibri"/>
        <w:b w:val="0"/>
        <w:bCs w:val="0"/>
        <w:color w:val="00000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151570B0"/>
    <w:multiLevelType w:val="multilevel"/>
    <w:tmpl w:val="9D0C6100"/>
    <w:styleLink w:val="WWNum1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17526287"/>
    <w:multiLevelType w:val="multilevel"/>
    <w:tmpl w:val="4CF4A23C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1B0305ED"/>
    <w:multiLevelType w:val="multilevel"/>
    <w:tmpl w:val="EE54CD16"/>
    <w:styleLink w:val="WWNum27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)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1" w15:restartNumberingAfterBreak="0">
    <w:nsid w:val="1CA923F0"/>
    <w:multiLevelType w:val="multilevel"/>
    <w:tmpl w:val="C576E312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Calibri"/>
        <w:b w:val="0"/>
        <w:bCs w:val="0"/>
        <w:color w:val="00000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25016BA"/>
    <w:multiLevelType w:val="multilevel"/>
    <w:tmpl w:val="04E28B6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Calibri"/>
        <w:b w:val="0"/>
        <w:bCs w:val="0"/>
        <w:color w:val="00000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9207C8D"/>
    <w:multiLevelType w:val="multilevel"/>
    <w:tmpl w:val="1652B398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  <w:b w:val="0"/>
        <w:bCs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4" w15:restartNumberingAfterBreak="0">
    <w:nsid w:val="29EC71A0"/>
    <w:multiLevelType w:val="multilevel"/>
    <w:tmpl w:val="C81C6240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5" w15:restartNumberingAfterBreak="0">
    <w:nsid w:val="324716C9"/>
    <w:multiLevelType w:val="multilevel"/>
    <w:tmpl w:val="7E422BFA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37B42E4B"/>
    <w:multiLevelType w:val="multilevel"/>
    <w:tmpl w:val="8496F9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/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7" w15:restartNumberingAfterBreak="0">
    <w:nsid w:val="400B386B"/>
    <w:multiLevelType w:val="multilevel"/>
    <w:tmpl w:val="37FE760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8" w15:restartNumberingAfterBreak="0">
    <w:nsid w:val="457724FC"/>
    <w:multiLevelType w:val="multilevel"/>
    <w:tmpl w:val="382EA496"/>
    <w:styleLink w:val="WWNum2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9" w15:restartNumberingAfterBreak="0">
    <w:nsid w:val="45965660"/>
    <w:multiLevelType w:val="multilevel"/>
    <w:tmpl w:val="E6D0408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0" w15:restartNumberingAfterBreak="0">
    <w:nsid w:val="46223845"/>
    <w:multiLevelType w:val="multilevel"/>
    <w:tmpl w:val="D6FE782C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6FE4BAA"/>
    <w:multiLevelType w:val="multilevel"/>
    <w:tmpl w:val="16201A98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2" w15:restartNumberingAfterBreak="0">
    <w:nsid w:val="47316495"/>
    <w:multiLevelType w:val="multilevel"/>
    <w:tmpl w:val="F44805C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3" w15:restartNumberingAfterBreak="0">
    <w:nsid w:val="4A9742D3"/>
    <w:multiLevelType w:val="multilevel"/>
    <w:tmpl w:val="CDEEBD4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4" w15:restartNumberingAfterBreak="0">
    <w:nsid w:val="51D058DE"/>
    <w:multiLevelType w:val="multilevel"/>
    <w:tmpl w:val="0A6AF3FE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/>
        <w:b w:val="0"/>
        <w:bCs w:val="0"/>
        <w:sz w:val="18"/>
        <w:szCs w:val="18"/>
      </w:rPr>
    </w:lvl>
    <w:lvl w:ilvl="1">
      <w:start w:val="1"/>
      <w:numFmt w:val="decimal"/>
      <w:lvlText w:val=")"/>
      <w:lvlJc w:val="left"/>
      <w:pPr>
        <w:ind w:left="1440" w:hanging="360"/>
      </w:pPr>
      <w:rPr>
        <w:rFonts w:ascii="Open Sans" w:eastAsia="Calibri" w:hAnsi="Open Sans" w:cs="Calibri"/>
        <w:sz w:val="18"/>
        <w:szCs w:val="18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9B23896"/>
    <w:multiLevelType w:val="multilevel"/>
    <w:tmpl w:val="277066AC"/>
    <w:styleLink w:val="WW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64B241AD"/>
    <w:multiLevelType w:val="multilevel"/>
    <w:tmpl w:val="84E2633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7" w15:restartNumberingAfterBreak="0">
    <w:nsid w:val="68EE3E52"/>
    <w:multiLevelType w:val="multilevel"/>
    <w:tmpl w:val="0EF2D42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Calibri"/>
        <w:b w:val="0"/>
        <w:bCs w:val="0"/>
        <w:color w:val="000000"/>
        <w:sz w:val="18"/>
        <w:szCs w:val="18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8" w15:restartNumberingAfterBreak="0">
    <w:nsid w:val="69257395"/>
    <w:multiLevelType w:val="multilevel"/>
    <w:tmpl w:val="D85A8E0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  <w:b w:val="0"/>
        <w:color w:val="00000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6AC72F21"/>
    <w:multiLevelType w:val="multilevel"/>
    <w:tmpl w:val="A7C4A06E"/>
    <w:styleLink w:val="WWNum4"/>
    <w:lvl w:ilvl="0">
      <w:start w:val="1"/>
      <w:numFmt w:val="decimal"/>
      <w:lvlText w:val="%1)"/>
      <w:lvlJc w:val="left"/>
      <w:pPr>
        <w:ind w:left="786" w:hanging="360"/>
      </w:pPr>
      <w:rPr>
        <w:rFonts w:ascii="Open Sans" w:hAnsi="Open Sans"/>
        <w:b w:val="0"/>
        <w:bCs w:val="0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6E586C5E"/>
    <w:multiLevelType w:val="multilevel"/>
    <w:tmpl w:val="2C485490"/>
    <w:lvl w:ilvl="0">
      <w:start w:val="350"/>
      <w:numFmt w:val="decimal"/>
      <w:lvlText w:val="%1"/>
      <w:lvlJc w:val="left"/>
      <w:pPr>
        <w:ind w:left="1395" w:hanging="360"/>
      </w:pPr>
    </w:lvl>
    <w:lvl w:ilvl="1">
      <w:start w:val="1"/>
      <w:numFmt w:val="lowerLetter"/>
      <w:lvlText w:val="."/>
      <w:lvlJc w:val="left"/>
      <w:pPr>
        <w:ind w:left="2115" w:hanging="360"/>
      </w:pPr>
    </w:lvl>
    <w:lvl w:ilvl="2">
      <w:start w:val="1"/>
      <w:numFmt w:val="lowerRoman"/>
      <w:lvlText w:val="."/>
      <w:lvlJc w:val="right"/>
      <w:pPr>
        <w:ind w:left="2835" w:hanging="180"/>
      </w:pPr>
    </w:lvl>
    <w:lvl w:ilvl="3">
      <w:start w:val="1"/>
      <w:numFmt w:val="decimal"/>
      <w:lvlText w:val="."/>
      <w:lvlJc w:val="left"/>
      <w:pPr>
        <w:ind w:left="3555" w:hanging="360"/>
      </w:pPr>
    </w:lvl>
    <w:lvl w:ilvl="4">
      <w:start w:val="1"/>
      <w:numFmt w:val="lowerLetter"/>
      <w:lvlText w:val="."/>
      <w:lvlJc w:val="left"/>
      <w:pPr>
        <w:ind w:left="4275" w:hanging="360"/>
      </w:pPr>
    </w:lvl>
    <w:lvl w:ilvl="5">
      <w:start w:val="1"/>
      <w:numFmt w:val="lowerRoman"/>
      <w:lvlText w:val="."/>
      <w:lvlJc w:val="right"/>
      <w:pPr>
        <w:ind w:left="4995" w:hanging="180"/>
      </w:pPr>
    </w:lvl>
    <w:lvl w:ilvl="6">
      <w:start w:val="1"/>
      <w:numFmt w:val="decimal"/>
      <w:lvlText w:val="."/>
      <w:lvlJc w:val="left"/>
      <w:pPr>
        <w:ind w:left="5715" w:hanging="360"/>
      </w:pPr>
    </w:lvl>
    <w:lvl w:ilvl="7">
      <w:start w:val="1"/>
      <w:numFmt w:val="lowerLetter"/>
      <w:lvlText w:val="."/>
      <w:lvlJc w:val="left"/>
      <w:pPr>
        <w:ind w:left="6435" w:hanging="360"/>
      </w:pPr>
    </w:lvl>
    <w:lvl w:ilvl="8">
      <w:start w:val="1"/>
      <w:numFmt w:val="lowerRoman"/>
      <w:lvlText w:val="."/>
      <w:lvlJc w:val="right"/>
      <w:pPr>
        <w:ind w:left="7155" w:hanging="180"/>
      </w:pPr>
    </w:lvl>
  </w:abstractNum>
  <w:abstractNum w:abstractNumId="31" w15:restartNumberingAfterBreak="0">
    <w:nsid w:val="733749A0"/>
    <w:multiLevelType w:val="multilevel"/>
    <w:tmpl w:val="8474C8AC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12544201">
    <w:abstractNumId w:val="21"/>
  </w:num>
  <w:num w:numId="2" w16cid:durableId="535193421">
    <w:abstractNumId w:val="4"/>
  </w:num>
  <w:num w:numId="3" w16cid:durableId="1717197737">
    <w:abstractNumId w:val="17"/>
  </w:num>
  <w:num w:numId="4" w16cid:durableId="1582979674">
    <w:abstractNumId w:val="16"/>
  </w:num>
  <w:num w:numId="5" w16cid:durableId="445197409">
    <w:abstractNumId w:val="29"/>
  </w:num>
  <w:num w:numId="6" w16cid:durableId="2034575221">
    <w:abstractNumId w:val="22"/>
  </w:num>
  <w:num w:numId="7" w16cid:durableId="175391260">
    <w:abstractNumId w:val="27"/>
  </w:num>
  <w:num w:numId="8" w16cid:durableId="5644488">
    <w:abstractNumId w:val="26"/>
  </w:num>
  <w:num w:numId="9" w16cid:durableId="1421297118">
    <w:abstractNumId w:val="20"/>
  </w:num>
  <w:num w:numId="10" w16cid:durableId="985160333">
    <w:abstractNumId w:val="7"/>
  </w:num>
  <w:num w:numId="11" w16cid:durableId="2004314666">
    <w:abstractNumId w:val="12"/>
  </w:num>
  <w:num w:numId="12" w16cid:durableId="2050370443">
    <w:abstractNumId w:val="3"/>
  </w:num>
  <w:num w:numId="13" w16cid:durableId="1808160393">
    <w:abstractNumId w:val="11"/>
  </w:num>
  <w:num w:numId="14" w16cid:durableId="1433429939">
    <w:abstractNumId w:val="0"/>
  </w:num>
  <w:num w:numId="15" w16cid:durableId="761877847">
    <w:abstractNumId w:val="9"/>
  </w:num>
  <w:num w:numId="16" w16cid:durableId="1715888938">
    <w:abstractNumId w:val="19"/>
  </w:num>
  <w:num w:numId="17" w16cid:durableId="1486434877">
    <w:abstractNumId w:val="8"/>
  </w:num>
  <w:num w:numId="18" w16cid:durableId="1476798429">
    <w:abstractNumId w:val="2"/>
  </w:num>
  <w:num w:numId="19" w16cid:durableId="462576384">
    <w:abstractNumId w:val="6"/>
  </w:num>
  <w:num w:numId="20" w16cid:durableId="360323271">
    <w:abstractNumId w:val="28"/>
  </w:num>
  <w:num w:numId="21" w16cid:durableId="1183739404">
    <w:abstractNumId w:val="23"/>
  </w:num>
  <w:num w:numId="22" w16cid:durableId="923487798">
    <w:abstractNumId w:val="5"/>
  </w:num>
  <w:num w:numId="23" w16cid:durableId="1041397527">
    <w:abstractNumId w:val="13"/>
  </w:num>
  <w:num w:numId="24" w16cid:durableId="933396179">
    <w:abstractNumId w:val="1"/>
  </w:num>
  <w:num w:numId="25" w16cid:durableId="1280642322">
    <w:abstractNumId w:val="18"/>
  </w:num>
  <w:num w:numId="26" w16cid:durableId="1660229348">
    <w:abstractNumId w:val="14"/>
  </w:num>
  <w:num w:numId="27" w16cid:durableId="1894803867">
    <w:abstractNumId w:val="24"/>
  </w:num>
  <w:num w:numId="28" w16cid:durableId="834227053">
    <w:abstractNumId w:val="10"/>
  </w:num>
  <w:num w:numId="29" w16cid:durableId="790899959">
    <w:abstractNumId w:val="25"/>
  </w:num>
  <w:num w:numId="30" w16cid:durableId="818305966">
    <w:abstractNumId w:val="15"/>
  </w:num>
  <w:num w:numId="31" w16cid:durableId="2103599783">
    <w:abstractNumId w:val="31"/>
  </w:num>
  <w:num w:numId="32" w16cid:durableId="1633826574">
    <w:abstractNumId w:val="25"/>
    <w:lvlOverride w:ilvl="0">
      <w:startOverride w:val="1"/>
    </w:lvlOverride>
  </w:num>
  <w:num w:numId="33" w16cid:durableId="706562372">
    <w:abstractNumId w:val="31"/>
    <w:lvlOverride w:ilvl="0">
      <w:startOverride w:val="1"/>
    </w:lvlOverride>
  </w:num>
  <w:num w:numId="34" w16cid:durableId="1461846335">
    <w:abstractNumId w:val="9"/>
    <w:lvlOverride w:ilvl="0">
      <w:startOverride w:val="1"/>
    </w:lvlOverride>
  </w:num>
  <w:num w:numId="35" w16cid:durableId="1120956026">
    <w:abstractNumId w:val="30"/>
  </w:num>
  <w:num w:numId="36" w16cid:durableId="1883637796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2D67"/>
    <w:rsid w:val="001D343A"/>
    <w:rsid w:val="005F5910"/>
    <w:rsid w:val="00662D67"/>
    <w:rsid w:val="00753EB8"/>
    <w:rsid w:val="00A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2401"/>
  <w15:docId w15:val="{DB5C25B0-E242-4E76-9980-CB95B0D5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Tematkomentarza">
    <w:name w:val="annotation subject"/>
    <w:basedOn w:val="Marginalia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ascii="Open Sans" w:eastAsia="Open Sans" w:hAnsi="Open Sans" w:cs="Open Sans"/>
      <w:b/>
      <w:bCs/>
    </w:rPr>
  </w:style>
  <w:style w:type="character" w:customStyle="1" w:styleId="ListLabel2">
    <w:name w:val="ListLabel 2"/>
    <w:rPr>
      <w:rFonts w:ascii="Open Sans" w:eastAsia="Open Sans" w:hAnsi="Open Sans" w:cs="Open Sans"/>
      <w:b/>
      <w:bCs/>
    </w:rPr>
  </w:style>
  <w:style w:type="character" w:customStyle="1" w:styleId="ListLabel3">
    <w:name w:val="ListLabel 3"/>
    <w:rPr>
      <w:rFonts w:ascii="Open Sans" w:eastAsia="Open Sans" w:hAnsi="Open Sans" w:cs="Open Sans"/>
      <w:b/>
      <w:bCs/>
    </w:rPr>
  </w:style>
  <w:style w:type="character" w:customStyle="1" w:styleId="ListLabel4">
    <w:name w:val="ListLabel 4"/>
    <w:rPr>
      <w:rFonts w:ascii="Open Sans" w:eastAsia="Open Sans" w:hAnsi="Open Sans" w:cs="Open Sans"/>
      <w:b/>
      <w:bCs/>
    </w:rPr>
  </w:style>
  <w:style w:type="character" w:customStyle="1" w:styleId="ListLabel5">
    <w:name w:val="ListLabel 5"/>
    <w:rPr>
      <w:rFonts w:ascii="Open Sans" w:eastAsia="Calibri" w:hAnsi="Open Sans" w:cs="Open Sans"/>
      <w:b/>
      <w:bCs/>
    </w:rPr>
  </w:style>
  <w:style w:type="character" w:customStyle="1" w:styleId="ListLabel6">
    <w:name w:val="ListLabel 6"/>
    <w:rPr>
      <w:rFonts w:ascii="Open Sans" w:eastAsia="Times New Roman" w:hAnsi="Open Sans" w:cs="Calibri"/>
      <w:b/>
      <w:bCs/>
      <w:color w:val="000000"/>
    </w:rPr>
  </w:style>
  <w:style w:type="character" w:customStyle="1" w:styleId="ListLabel7">
    <w:name w:val="ListLabel 7"/>
    <w:rPr>
      <w:rFonts w:ascii="Open Sans" w:eastAsia="Open Sans" w:hAnsi="Open Sans" w:cs="Open Sans"/>
      <w:b/>
      <w:bCs/>
    </w:rPr>
  </w:style>
  <w:style w:type="character" w:customStyle="1" w:styleId="ListLabel8">
    <w:name w:val="ListLabel 8"/>
    <w:rPr>
      <w:rFonts w:ascii="Open Sans" w:eastAsia="Times New Roman" w:hAnsi="Open Sans" w:cs="Calibri"/>
      <w:b/>
      <w:bCs/>
      <w:color w:val="000000"/>
    </w:rPr>
  </w:style>
  <w:style w:type="character" w:customStyle="1" w:styleId="ListLabel9">
    <w:name w:val="ListLabel 9"/>
    <w:rPr>
      <w:rFonts w:eastAsia="Times New Roman" w:cs="Calibri"/>
      <w:b/>
      <w:bCs/>
      <w:color w:val="000000"/>
    </w:rPr>
  </w:style>
  <w:style w:type="character" w:customStyle="1" w:styleId="ListLabel10">
    <w:name w:val="ListLabel 10"/>
    <w:rPr>
      <w:rFonts w:ascii="Open Sans" w:eastAsia="Times New Roman" w:hAnsi="Open Sans" w:cs="Calibri"/>
      <w:b/>
      <w:bCs/>
      <w:color w:val="000000"/>
    </w:rPr>
  </w:style>
  <w:style w:type="character" w:customStyle="1" w:styleId="ListLabel11">
    <w:name w:val="ListLabel 11"/>
    <w:rPr>
      <w:rFonts w:ascii="Open Sans" w:eastAsia="Open Sans" w:hAnsi="Open Sans" w:cs="Open Sans"/>
      <w:b/>
      <w:bCs/>
    </w:rPr>
  </w:style>
  <w:style w:type="character" w:customStyle="1" w:styleId="ListLabel12">
    <w:name w:val="ListLabel 12"/>
    <w:rPr>
      <w:sz w:val="21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eastAsia="Times New Roman" w:cs="Calibri"/>
      <w:b/>
      <w:bCs/>
      <w:color w:val="000000"/>
    </w:rPr>
  </w:style>
  <w:style w:type="character" w:customStyle="1" w:styleId="ListLabel28">
    <w:name w:val="ListLabel 28"/>
    <w:rPr>
      <w:rFonts w:eastAsia="Times New Roman" w:cs="Calibri"/>
      <w:b/>
      <w:bCs/>
      <w:color w:val="000000"/>
    </w:rPr>
  </w:style>
  <w:style w:type="character" w:customStyle="1" w:styleId="ListLabel29">
    <w:name w:val="ListLabel 29"/>
    <w:rPr>
      <w:rFonts w:ascii="Open Sans" w:eastAsia="Times New Roman" w:hAnsi="Open Sans" w:cs="Calibri"/>
      <w:b/>
      <w:bCs/>
      <w:color w:val="000000"/>
    </w:rPr>
  </w:style>
  <w:style w:type="character" w:customStyle="1" w:styleId="ListLabel30">
    <w:name w:val="ListLabel 30"/>
    <w:rPr>
      <w:rFonts w:eastAsia="Times New Roman" w:cs="Calibri"/>
      <w:b/>
      <w:bCs/>
      <w:color w:val="000000"/>
    </w:rPr>
  </w:style>
  <w:style w:type="character" w:customStyle="1" w:styleId="ListLabel31">
    <w:name w:val="ListLabel 31"/>
    <w:rPr>
      <w:b/>
      <w:bCs/>
      <w:color w:val="000000"/>
    </w:rPr>
  </w:style>
  <w:style w:type="character" w:customStyle="1" w:styleId="ListLabel32">
    <w:name w:val="ListLabel 32"/>
    <w:rPr>
      <w:rFonts w:ascii="Open Sans" w:eastAsia="Open Sans" w:hAnsi="Open Sans" w:cs="Open Sans"/>
      <w:b/>
      <w:bCs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ListLabel33">
    <w:name w:val="ListLabel 33"/>
    <w:rPr>
      <w:rFonts w:ascii="Open Sans" w:eastAsia="Open Sans" w:hAnsi="Open Sans" w:cs="Open Sans"/>
      <w:b/>
      <w:bCs/>
    </w:rPr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  <w:rPr>
      <w:rFonts w:ascii="Open Sans" w:eastAsia="Open Sans" w:hAnsi="Open Sans" w:cs="Open Sans"/>
      <w:b/>
      <w:bCs/>
    </w:rPr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  <w:rPr>
      <w:rFonts w:ascii="Open Sans" w:eastAsia="Open Sans" w:hAnsi="Open Sans" w:cs="Open Sans"/>
      <w:b/>
      <w:bCs/>
    </w:rPr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  <w:rPr>
      <w:rFonts w:ascii="Open Sans" w:eastAsia="Open Sans" w:hAnsi="Open Sans" w:cs="Open Sans"/>
      <w:b/>
      <w:bCs/>
    </w:rPr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  <w:rPr>
      <w:rFonts w:ascii="Open Sans" w:eastAsia="Calibri" w:hAnsi="Open Sans" w:cs="Open Sans"/>
      <w:b/>
      <w:bCs/>
    </w:rPr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  <w:rPr>
      <w:rFonts w:ascii="Open Sans" w:eastAsia="Times New Roman" w:hAnsi="Open Sans" w:cs="Calibri"/>
      <w:b/>
      <w:bCs/>
      <w:color w:val="000000"/>
    </w:rPr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  <w:rPr>
      <w:b/>
      <w:bCs/>
    </w:rPr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  <w:rPr>
      <w:rFonts w:ascii="Open Sans" w:eastAsia="Open Sans" w:hAnsi="Open Sans" w:cs="Open Sans"/>
      <w:b/>
      <w:bCs/>
    </w:rPr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  <w:rPr>
      <w:rFonts w:ascii="Open Sans" w:eastAsia="Times New Roman" w:hAnsi="Open Sans" w:cs="Calibri"/>
      <w:b/>
      <w:bCs/>
      <w:color w:val="000000"/>
    </w:rPr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  <w:rPr>
      <w:rFonts w:ascii="Open Sans" w:eastAsia="Times New Roman" w:hAnsi="Open Sans" w:cs="Calibri"/>
      <w:b/>
      <w:bCs/>
      <w:color w:val="000000"/>
    </w:rPr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  <w:rPr>
      <w:rFonts w:ascii="Open Sans" w:eastAsia="Open Sans" w:hAnsi="Open Sans" w:cs="Open Sans"/>
      <w:b/>
      <w:bCs/>
    </w:rPr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  <w:rPr>
      <w:rFonts w:ascii="Open Sans" w:eastAsia="Times New Roman" w:hAnsi="Open Sans" w:cs="Calibri"/>
      <w:b/>
      <w:bCs/>
      <w:color w:val="000000"/>
    </w:rPr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  <w:rPr>
      <w:rFonts w:ascii="Open Sans" w:eastAsia="Open Sans" w:hAnsi="Open Sans" w:cs="Open Sans"/>
      <w:b/>
      <w:bCs/>
    </w:rPr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  <w:rPr>
      <w:rFonts w:ascii="Open Sans" w:eastAsia="Open Sans" w:hAnsi="Open Sans" w:cs="Open Sans"/>
      <w:b/>
      <w:bCs/>
    </w:rPr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  <w:rPr>
      <w:rFonts w:ascii="Open Sans" w:eastAsia="Open Sans" w:hAnsi="Open Sans" w:cs="Open Sans"/>
      <w:b/>
      <w:bCs/>
    </w:rPr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  <w:rPr>
      <w:rFonts w:eastAsia="Times New Roman" w:cs="Calibri"/>
      <w:b w:val="0"/>
      <w:color w:val="000000"/>
    </w:rPr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  <w:rPr>
      <w:rFonts w:ascii="Open Sans" w:eastAsia="Calibri" w:hAnsi="Open Sans" w:cs="Open Sans"/>
      <w:b/>
      <w:bCs/>
    </w:rPr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  <w:rPr>
      <w:rFonts w:ascii="Open Sans" w:eastAsia="Open Sans" w:hAnsi="Open Sans" w:cs="Open Sans"/>
      <w:b/>
      <w:bCs/>
    </w:rPr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  <w:rPr>
      <w:b/>
      <w:bCs/>
    </w:rPr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  <w:rPr>
      <w:rFonts w:ascii="Open Sans" w:eastAsia="Open Sans" w:hAnsi="Open Sans" w:cs="Open Sans"/>
      <w:b/>
      <w:bCs/>
    </w:rPr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  <w:rPr>
      <w:b/>
      <w:bCs/>
    </w:rPr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  <w:rPr>
      <w:b/>
      <w:bCs/>
    </w:rPr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  <w:rPr>
      <w:b w:val="0"/>
      <w:bCs w:val="0"/>
      <w:color w:val="000000"/>
    </w:rPr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  <w:rPr>
      <w:b/>
      <w:bCs/>
    </w:rPr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4300</Words>
  <Characters>25806</Characters>
  <Application>Microsoft Office Word</Application>
  <DocSecurity>0</DocSecurity>
  <Lines>215</Lines>
  <Paragraphs>60</Paragraphs>
  <ScaleCrop>false</ScaleCrop>
  <Company/>
  <LinksUpToDate>false</LinksUpToDate>
  <CharactersWithSpaces>30046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Zbigniew Oleszek</cp:lastModifiedBy>
  <cp:revision>2</cp:revision>
  <cp:lastPrinted>2025-01-27T19:46:00Z</cp:lastPrinted>
  <dcterms:created xsi:type="dcterms:W3CDTF">2026-03-02T08:14:00Z</dcterms:created>
  <dcterms:modified xsi:type="dcterms:W3CDTF">2026-03-02T08:14:00Z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